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0.75pt" o:ole="" filled="t" fillcolor="black">
            <v:imagedata r:id="rId4" o:title=""/>
          </v:shape>
          <o:OLEObject Type="Embed" ProgID="Unknown" ShapeID="_x0000_i1025" DrawAspect="Content" ObjectID="_1794132876"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Н Я </w:t>
      </w:r>
    </w:p>
    <w:p w:rsidR="00A81066" w:rsidRPr="00232DD4" w:rsidRDefault="002E5F61" w:rsidP="00A81066">
      <w:pPr>
        <w:keepNext/>
        <w:tabs>
          <w:tab w:val="left" w:pos="8222"/>
          <w:tab w:val="left" w:pos="8505"/>
        </w:tabs>
        <w:spacing w:line="360" w:lineRule="auto"/>
        <w:jc w:val="both"/>
        <w:outlineLvl w:val="0"/>
        <w:rPr>
          <w:b/>
          <w:bCs/>
          <w:color w:val="000000"/>
          <w:szCs w:val="28"/>
          <w:lang w:val="ru-RU"/>
        </w:rPr>
      </w:pPr>
      <w:r>
        <w:rPr>
          <w:color w:val="000000"/>
          <w:szCs w:val="28"/>
          <w:lang w:val="ru-RU"/>
        </w:rPr>
        <w:t>1</w:t>
      </w:r>
      <w:r w:rsidR="00A21B96">
        <w:rPr>
          <w:color w:val="000000"/>
          <w:szCs w:val="28"/>
          <w:lang w:val="en-US"/>
        </w:rPr>
        <w:t>4</w:t>
      </w:r>
      <w:bookmarkStart w:id="0" w:name="_GoBack"/>
      <w:bookmarkEnd w:id="0"/>
      <w:r>
        <w:rPr>
          <w:color w:val="000000"/>
          <w:szCs w:val="28"/>
          <w:lang w:val="ru-RU"/>
        </w:rPr>
        <w:t>.11.2023</w:t>
      </w:r>
      <w:r w:rsidR="00A81066" w:rsidRPr="00BA68F8">
        <w:rPr>
          <w:color w:val="000000"/>
          <w:szCs w:val="28"/>
        </w:rPr>
        <w:t xml:space="preserve">                                     м. Глухів</w:t>
      </w:r>
      <w:r w:rsidR="00A81066">
        <w:rPr>
          <w:color w:val="000000"/>
          <w:szCs w:val="28"/>
        </w:rPr>
        <w:t xml:space="preserve">                              №</w:t>
      </w:r>
      <w:r>
        <w:rPr>
          <w:color w:val="000000"/>
          <w:szCs w:val="28"/>
        </w:rPr>
        <w:t xml:space="preserve"> </w:t>
      </w:r>
      <w:r>
        <w:rPr>
          <w:color w:val="000000"/>
          <w:szCs w:val="28"/>
          <w:lang w:val="ru-RU"/>
        </w:rPr>
        <w:t>314</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економічного і соціального розвитку Глухівської міської ради на 2023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Сухоручкіної Л.О на підставі звернення </w:t>
      </w:r>
      <w:r>
        <w:t>начальника управління житлово-комунального господарства та містобудування</w:t>
      </w:r>
      <w:r w:rsidRPr="00AC3D96">
        <w:t xml:space="preserve"> </w:t>
      </w:r>
      <w:r w:rsidR="00BF6954">
        <w:t xml:space="preserve">Глухівської </w:t>
      </w:r>
      <w:r w:rsidRPr="003B048F">
        <w:t xml:space="preserve">міської ради </w:t>
      </w:r>
      <w:r>
        <w:t xml:space="preserve">Кулініч Л.П. про внесення змін до Програми економічного і соціального розвитку Глухівської міської ради на 2023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Default="00A81066" w:rsidP="00A81066">
      <w:pPr>
        <w:shd w:val="clear" w:color="auto" w:fill="FFFFFF"/>
        <w:tabs>
          <w:tab w:val="left" w:pos="426"/>
        </w:tabs>
        <w:ind w:firstLine="680"/>
        <w:jc w:val="both"/>
      </w:pPr>
      <w:r>
        <w:t>1. Схвалити внесення змін до Додатку 1</w:t>
      </w:r>
      <w:r w:rsidRPr="00AC3D96">
        <w:t xml:space="preserve"> </w:t>
      </w:r>
      <w:r w:rsidR="00BF6954">
        <w:t>до Програми економічного і соціального розвитку Глухівської міської ради на 2023 рік, затвердженого рішенням Глухівської міської ради від 25.11.2022 № 554 «Про Програму економічного і соціального розвитку Глухівської міської ради на 2023 рік» , а саме: доповнити завдання 3 пріоритету 1.6.</w:t>
      </w:r>
      <w:r w:rsidR="00BF6954" w:rsidRPr="005D04E8">
        <w:t xml:space="preserve"> </w:t>
      </w:r>
      <w:r w:rsidR="00BF6954">
        <w:t>«</w:t>
      </w:r>
      <w:r w:rsidR="00BF6954" w:rsidRPr="005D04E8">
        <w:t>Житлово-комунальне господарство та житлова політика</w:t>
      </w:r>
      <w:r w:rsidR="00BF6954">
        <w:t>» пунктом 4 згідно з додатком.</w:t>
      </w:r>
    </w:p>
    <w:p w:rsidR="00A81066" w:rsidRDefault="00BF6954" w:rsidP="00BF6954">
      <w:pPr>
        <w:shd w:val="clear" w:color="auto" w:fill="FFFFFF"/>
        <w:tabs>
          <w:tab w:val="left" w:pos="426"/>
        </w:tabs>
        <w:jc w:val="both"/>
      </w:pPr>
      <w:r>
        <w:tab/>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Організацію виконання цього рішення покласти на управління соціально-економічного розвитку Глухівської міської ради (начальник –                     Сухоручкіна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A81066" w:rsidRPr="00BA68F8" w:rsidRDefault="00A81066" w:rsidP="00A81066">
      <w:pPr>
        <w:jc w:val="both"/>
        <w:rPr>
          <w:b/>
          <w:szCs w:val="28"/>
        </w:rPr>
      </w:pPr>
      <w:r w:rsidRPr="00BA68F8">
        <w:rPr>
          <w:b/>
          <w:szCs w:val="28"/>
        </w:rPr>
        <w:t>Міський  голова                                                                 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5D04E8">
          <w:pgSz w:w="11906" w:h="16838"/>
          <w:pgMar w:top="426" w:right="850" w:bottom="1134" w:left="1701" w:header="708" w:footer="708" w:gutter="0"/>
          <w:pgNumType w:start="0"/>
          <w:cols w:space="708"/>
          <w:titlePg/>
          <w:docGrid w:linePitch="381"/>
        </w:sectPr>
      </w:pPr>
    </w:p>
    <w:p w:rsidR="00A81066" w:rsidRPr="00015F17" w:rsidRDefault="00A81066" w:rsidP="00A81066">
      <w:pPr>
        <w:ind w:firstLine="9639"/>
      </w:pPr>
      <w:r w:rsidRPr="00107DAB">
        <w:lastRenderedPageBreak/>
        <w:t xml:space="preserve">Додаток  до рішення </w:t>
      </w:r>
      <w:r w:rsidRPr="00015F17">
        <w:t>виконавчого</w:t>
      </w:r>
    </w:p>
    <w:p w:rsidR="00A81066" w:rsidRPr="00015F17" w:rsidRDefault="00A81066" w:rsidP="00A81066">
      <w:pPr>
        <w:ind w:firstLine="9639"/>
      </w:pPr>
      <w:r w:rsidRPr="00015F17">
        <w:t xml:space="preserve">комітету </w:t>
      </w:r>
    </w:p>
    <w:p w:rsidR="00A81066" w:rsidRPr="00107DAB" w:rsidRDefault="002E5F61" w:rsidP="00A81066">
      <w:pPr>
        <w:ind w:firstLine="9639"/>
      </w:pPr>
      <w:r>
        <w:t>16.11.2023</w:t>
      </w:r>
      <w:r w:rsidR="00A81066" w:rsidRPr="00107DAB">
        <w:t xml:space="preserve"> № </w:t>
      </w:r>
      <w:r>
        <w:t>314</w:t>
      </w:r>
    </w:p>
    <w:p w:rsidR="00A81066" w:rsidRPr="00107DAB" w:rsidRDefault="00A81066" w:rsidP="00A81066">
      <w:pPr>
        <w:ind w:firstLine="9639"/>
      </w:pPr>
      <w:r w:rsidRPr="00107DAB">
        <w:t xml:space="preserve">Додаток 1до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A81066" w:rsidP="00A81066">
      <w:pPr>
        <w:ind w:firstLine="9639"/>
      </w:pPr>
      <w:r w:rsidRPr="00107DAB">
        <w:t>міської ради на 2023 рік</w:t>
      </w:r>
    </w:p>
    <w:p w:rsidR="00A81066" w:rsidRPr="00107DAB" w:rsidRDefault="00A81066" w:rsidP="00A81066">
      <w:pPr>
        <w:jc w:val="center"/>
        <w:outlineLvl w:val="0"/>
        <w:rPr>
          <w:b/>
        </w:rPr>
      </w:pPr>
    </w:p>
    <w:p w:rsidR="00A81066" w:rsidRPr="005D04E8" w:rsidRDefault="00A81066" w:rsidP="00A81066">
      <w:pPr>
        <w:jc w:val="center"/>
        <w:outlineLvl w:val="0"/>
        <w:rPr>
          <w:b/>
          <w:szCs w:val="28"/>
        </w:rPr>
      </w:pPr>
      <w:r w:rsidRPr="005D04E8">
        <w:rPr>
          <w:b/>
          <w:szCs w:val="28"/>
        </w:rPr>
        <w:t>Заходи щодо реалізації Програми економічного і соціального розвитку Глухівської міської ради на 2023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77"/>
        <w:gridCol w:w="1027"/>
        <w:gridCol w:w="931"/>
        <w:gridCol w:w="2783"/>
      </w:tblGrid>
      <w:tr w:rsidR="00A81066" w:rsidRPr="005D04E8" w:rsidTr="00D41ABD">
        <w:trPr>
          <w:trHeight w:val="20"/>
          <w:jc w:val="center"/>
        </w:trPr>
        <w:tc>
          <w:tcPr>
            <w:tcW w:w="216" w:type="pct"/>
            <w:vMerge w:val="restart"/>
            <w:vAlign w:val="center"/>
          </w:tcPr>
          <w:p w:rsidR="00A81066" w:rsidRPr="005D04E8" w:rsidRDefault="00A81066" w:rsidP="00D41ABD">
            <w:pPr>
              <w:jc w:val="center"/>
              <w:rPr>
                <w:b/>
                <w:sz w:val="20"/>
              </w:rPr>
            </w:pPr>
            <w:r w:rsidRPr="005D04E8">
              <w:rPr>
                <w:b/>
                <w:sz w:val="20"/>
              </w:rPr>
              <w:t>№ з/п</w:t>
            </w:r>
          </w:p>
        </w:tc>
        <w:tc>
          <w:tcPr>
            <w:tcW w:w="1267" w:type="pct"/>
            <w:vMerge w:val="restart"/>
            <w:vAlign w:val="center"/>
          </w:tcPr>
          <w:p w:rsidR="00A81066" w:rsidRPr="005D04E8" w:rsidRDefault="00A81066" w:rsidP="00D41ABD">
            <w:pPr>
              <w:jc w:val="center"/>
              <w:rPr>
                <w:b/>
                <w:sz w:val="20"/>
              </w:rPr>
            </w:pPr>
            <w:r w:rsidRPr="005D04E8">
              <w:rPr>
                <w:b/>
                <w:sz w:val="20"/>
              </w:rPr>
              <w:t>Заходи</w:t>
            </w:r>
          </w:p>
        </w:tc>
        <w:tc>
          <w:tcPr>
            <w:tcW w:w="350" w:type="pct"/>
            <w:vMerge w:val="restart"/>
            <w:vAlign w:val="center"/>
          </w:tcPr>
          <w:p w:rsidR="00A81066" w:rsidRPr="005D04E8" w:rsidRDefault="00A81066" w:rsidP="00D41ABD">
            <w:pPr>
              <w:jc w:val="center"/>
              <w:rPr>
                <w:b/>
                <w:sz w:val="20"/>
              </w:rPr>
            </w:pPr>
            <w:r w:rsidRPr="005D04E8">
              <w:rPr>
                <w:b/>
                <w:sz w:val="20"/>
              </w:rPr>
              <w:t>Термін вико-</w:t>
            </w:r>
          </w:p>
          <w:p w:rsidR="00A81066" w:rsidRPr="005D04E8" w:rsidRDefault="00A81066" w:rsidP="00D41ABD">
            <w:pPr>
              <w:jc w:val="center"/>
              <w:rPr>
                <w:b/>
                <w:sz w:val="20"/>
              </w:rPr>
            </w:pPr>
            <w:r w:rsidRPr="005D04E8">
              <w:rPr>
                <w:b/>
                <w:sz w:val="20"/>
              </w:rPr>
              <w:t>нання</w:t>
            </w:r>
          </w:p>
        </w:tc>
        <w:tc>
          <w:tcPr>
            <w:tcW w:w="1001" w:type="pct"/>
            <w:vMerge w:val="restart"/>
            <w:vAlign w:val="center"/>
          </w:tcPr>
          <w:p w:rsidR="00A81066" w:rsidRPr="005D04E8" w:rsidRDefault="00A81066" w:rsidP="00D41ABD">
            <w:pPr>
              <w:jc w:val="center"/>
              <w:rPr>
                <w:b/>
                <w:sz w:val="20"/>
              </w:rPr>
            </w:pPr>
            <w:r w:rsidRPr="005D04E8">
              <w:rPr>
                <w:b/>
                <w:sz w:val="20"/>
              </w:rPr>
              <w:t>Відповідальний виконавець</w:t>
            </w:r>
          </w:p>
        </w:tc>
        <w:tc>
          <w:tcPr>
            <w:tcW w:w="1266" w:type="pct"/>
            <w:gridSpan w:val="4"/>
            <w:vAlign w:val="center"/>
          </w:tcPr>
          <w:p w:rsidR="00A81066" w:rsidRPr="005D04E8" w:rsidRDefault="00A81066" w:rsidP="00D41ABD">
            <w:pPr>
              <w:jc w:val="center"/>
              <w:rPr>
                <w:b/>
                <w:sz w:val="20"/>
              </w:rPr>
            </w:pPr>
            <w:r w:rsidRPr="005D04E8">
              <w:rPr>
                <w:b/>
                <w:sz w:val="20"/>
              </w:rPr>
              <w:t>Джерела та обсяги фінансування,</w:t>
            </w:r>
          </w:p>
          <w:p w:rsidR="00A81066" w:rsidRPr="005D04E8" w:rsidRDefault="00A81066" w:rsidP="00D41ABD">
            <w:pPr>
              <w:jc w:val="center"/>
              <w:rPr>
                <w:bCs/>
                <w:sz w:val="20"/>
              </w:rPr>
            </w:pPr>
            <w:r w:rsidRPr="005D04E8">
              <w:rPr>
                <w:bCs/>
                <w:sz w:val="20"/>
              </w:rPr>
              <w:t>тис. гривень</w:t>
            </w:r>
          </w:p>
        </w:tc>
        <w:tc>
          <w:tcPr>
            <w:tcW w:w="900" w:type="pct"/>
            <w:vMerge w:val="restart"/>
            <w:vAlign w:val="center"/>
          </w:tcPr>
          <w:p w:rsidR="00A81066" w:rsidRPr="005D04E8" w:rsidRDefault="00A81066" w:rsidP="00D41ABD">
            <w:pPr>
              <w:jc w:val="center"/>
              <w:rPr>
                <w:b/>
                <w:sz w:val="20"/>
              </w:rPr>
            </w:pPr>
            <w:r w:rsidRPr="005D04E8">
              <w:rPr>
                <w:b/>
                <w:sz w:val="20"/>
              </w:rPr>
              <w:t>Очікувані результати виконання заходу</w:t>
            </w:r>
          </w:p>
        </w:tc>
      </w:tr>
      <w:tr w:rsidR="00A81066" w:rsidRPr="005D04E8" w:rsidTr="00D41ABD">
        <w:trPr>
          <w:trHeight w:val="20"/>
          <w:jc w:val="center"/>
        </w:trPr>
        <w:tc>
          <w:tcPr>
            <w:tcW w:w="216" w:type="pct"/>
            <w:vMerge/>
            <w:vAlign w:val="center"/>
          </w:tcPr>
          <w:p w:rsidR="00A81066" w:rsidRPr="005D04E8" w:rsidRDefault="00A81066" w:rsidP="00D41ABD">
            <w:pPr>
              <w:jc w:val="center"/>
              <w:rPr>
                <w:b/>
                <w:sz w:val="20"/>
              </w:rPr>
            </w:pPr>
          </w:p>
        </w:tc>
        <w:tc>
          <w:tcPr>
            <w:tcW w:w="1267" w:type="pct"/>
            <w:vMerge/>
            <w:vAlign w:val="center"/>
          </w:tcPr>
          <w:p w:rsidR="00A81066" w:rsidRPr="005D04E8" w:rsidRDefault="00A81066" w:rsidP="00D41ABD">
            <w:pPr>
              <w:jc w:val="center"/>
              <w:rPr>
                <w:b/>
                <w:sz w:val="20"/>
              </w:rPr>
            </w:pPr>
          </w:p>
        </w:tc>
        <w:tc>
          <w:tcPr>
            <w:tcW w:w="350" w:type="pct"/>
            <w:vMerge/>
            <w:vAlign w:val="center"/>
          </w:tcPr>
          <w:p w:rsidR="00A81066" w:rsidRPr="005D04E8" w:rsidRDefault="00A81066" w:rsidP="00D41ABD">
            <w:pPr>
              <w:jc w:val="center"/>
              <w:rPr>
                <w:b/>
                <w:sz w:val="20"/>
              </w:rPr>
            </w:pPr>
          </w:p>
        </w:tc>
        <w:tc>
          <w:tcPr>
            <w:tcW w:w="1001" w:type="pct"/>
            <w:vMerge/>
            <w:vAlign w:val="center"/>
          </w:tcPr>
          <w:p w:rsidR="00A81066" w:rsidRPr="005D04E8" w:rsidRDefault="00A81066" w:rsidP="00D41ABD">
            <w:pPr>
              <w:jc w:val="center"/>
              <w:rPr>
                <w:b/>
                <w:sz w:val="20"/>
              </w:rPr>
            </w:pPr>
          </w:p>
        </w:tc>
        <w:tc>
          <w:tcPr>
            <w:tcW w:w="317" w:type="pct"/>
            <w:vAlign w:val="center"/>
          </w:tcPr>
          <w:p w:rsidR="00A81066" w:rsidRPr="005D04E8" w:rsidRDefault="00A81066" w:rsidP="00D41ABD">
            <w:pPr>
              <w:jc w:val="center"/>
              <w:rPr>
                <w:sz w:val="20"/>
              </w:rPr>
            </w:pPr>
            <w:r w:rsidRPr="005D04E8">
              <w:rPr>
                <w:sz w:val="20"/>
              </w:rPr>
              <w:t xml:space="preserve">держав-ний </w:t>
            </w:r>
          </w:p>
          <w:p w:rsidR="00A81066" w:rsidRPr="005D04E8" w:rsidRDefault="00A81066" w:rsidP="00D41ABD">
            <w:pPr>
              <w:jc w:val="center"/>
              <w:rPr>
                <w:sz w:val="20"/>
              </w:rPr>
            </w:pPr>
            <w:r w:rsidRPr="005D04E8">
              <w:rPr>
                <w:sz w:val="20"/>
              </w:rPr>
              <w:t>бюджет</w:t>
            </w:r>
          </w:p>
        </w:tc>
        <w:tc>
          <w:tcPr>
            <w:tcW w:w="316" w:type="pct"/>
            <w:vAlign w:val="center"/>
          </w:tcPr>
          <w:p w:rsidR="00A81066" w:rsidRPr="005D04E8" w:rsidRDefault="00A81066" w:rsidP="00D41ABD">
            <w:pPr>
              <w:jc w:val="center"/>
              <w:rPr>
                <w:sz w:val="20"/>
              </w:rPr>
            </w:pPr>
            <w:r w:rsidRPr="005D04E8">
              <w:rPr>
                <w:sz w:val="20"/>
              </w:rPr>
              <w:t>облас-ний бюджет</w:t>
            </w:r>
          </w:p>
        </w:tc>
        <w:tc>
          <w:tcPr>
            <w:tcW w:w="332" w:type="pct"/>
            <w:vAlign w:val="center"/>
          </w:tcPr>
          <w:p w:rsidR="00A81066" w:rsidRPr="005D04E8" w:rsidRDefault="00A81066" w:rsidP="00D41ABD">
            <w:pPr>
              <w:jc w:val="center"/>
              <w:rPr>
                <w:sz w:val="20"/>
              </w:rPr>
            </w:pPr>
            <w:r w:rsidRPr="005D04E8">
              <w:rPr>
                <w:sz w:val="20"/>
              </w:rPr>
              <w:t xml:space="preserve">місце-вий </w:t>
            </w:r>
          </w:p>
          <w:p w:rsidR="00A81066" w:rsidRPr="005D04E8" w:rsidRDefault="00A81066" w:rsidP="00D41ABD">
            <w:pPr>
              <w:jc w:val="center"/>
              <w:rPr>
                <w:sz w:val="20"/>
              </w:rPr>
            </w:pPr>
            <w:r w:rsidRPr="005D04E8">
              <w:rPr>
                <w:sz w:val="20"/>
              </w:rPr>
              <w:t>бюджет</w:t>
            </w:r>
          </w:p>
        </w:tc>
        <w:tc>
          <w:tcPr>
            <w:tcW w:w="301" w:type="pct"/>
            <w:vAlign w:val="center"/>
          </w:tcPr>
          <w:p w:rsidR="00A81066" w:rsidRPr="005D04E8" w:rsidRDefault="00A81066" w:rsidP="00D41ABD">
            <w:pPr>
              <w:jc w:val="center"/>
              <w:rPr>
                <w:b/>
                <w:sz w:val="20"/>
              </w:rPr>
            </w:pPr>
            <w:r w:rsidRPr="005D04E8">
              <w:rPr>
                <w:sz w:val="20"/>
              </w:rPr>
              <w:t>інші джерела</w:t>
            </w:r>
          </w:p>
        </w:tc>
        <w:tc>
          <w:tcPr>
            <w:tcW w:w="900" w:type="pct"/>
            <w:vMerge/>
            <w:vAlign w:val="center"/>
          </w:tcPr>
          <w:p w:rsidR="00A81066" w:rsidRPr="005D04E8" w:rsidRDefault="00A81066" w:rsidP="00D41ABD">
            <w:pPr>
              <w:jc w:val="center"/>
              <w:rPr>
                <w:b/>
                <w:sz w:val="20"/>
              </w:rPr>
            </w:pPr>
          </w:p>
        </w:tc>
      </w:tr>
      <w:tr w:rsidR="00A81066" w:rsidRPr="005D04E8" w:rsidTr="00D41ABD">
        <w:trPr>
          <w:trHeight w:val="20"/>
          <w:jc w:val="center"/>
        </w:trPr>
        <w:tc>
          <w:tcPr>
            <w:tcW w:w="5000" w:type="pct"/>
            <w:gridSpan w:val="9"/>
            <w:vAlign w:val="center"/>
          </w:tcPr>
          <w:p w:rsidR="00A81066" w:rsidRPr="005D04E8" w:rsidRDefault="00A81066" w:rsidP="00D41ABD">
            <w:pPr>
              <w:jc w:val="center"/>
              <w:rPr>
                <w:noProof/>
                <w:color w:val="000000"/>
                <w:sz w:val="20"/>
              </w:rPr>
            </w:pPr>
            <w:r w:rsidRPr="005D04E8">
              <w:rPr>
                <w:b/>
                <w:noProof/>
                <w:color w:val="000000"/>
                <w:sz w:val="20"/>
              </w:rPr>
              <w:t xml:space="preserve">Пріоритет 1.6. </w:t>
            </w:r>
            <w:r w:rsidRPr="005D04E8">
              <w:rPr>
                <w:b/>
                <w:sz w:val="20"/>
              </w:rPr>
              <w:t>Житлово-комунальне господарство та житлова політика</w:t>
            </w:r>
          </w:p>
        </w:tc>
      </w:tr>
      <w:tr w:rsidR="00A81066" w:rsidRPr="005D04E8" w:rsidTr="00D41ABD">
        <w:trPr>
          <w:trHeight w:val="20"/>
          <w:jc w:val="center"/>
        </w:trPr>
        <w:tc>
          <w:tcPr>
            <w:tcW w:w="5000" w:type="pct"/>
            <w:gridSpan w:val="9"/>
            <w:vAlign w:val="center"/>
          </w:tcPr>
          <w:p w:rsidR="00A81066" w:rsidRPr="005D04E8" w:rsidRDefault="00A81066" w:rsidP="00D41ABD">
            <w:pPr>
              <w:rPr>
                <w:b/>
                <w:noProof/>
                <w:color w:val="000000"/>
                <w:sz w:val="20"/>
              </w:rPr>
            </w:pPr>
            <w:r w:rsidRPr="005D04E8">
              <w:rPr>
                <w:b/>
                <w:sz w:val="20"/>
              </w:rPr>
              <w:t>Завдання 3. Покращення умов відпочинку для населення</w:t>
            </w:r>
          </w:p>
        </w:tc>
      </w:tr>
      <w:tr w:rsidR="00A81066" w:rsidRPr="005D04E8" w:rsidTr="00D41ABD">
        <w:trPr>
          <w:trHeight w:val="743"/>
          <w:jc w:val="center"/>
        </w:trPr>
        <w:tc>
          <w:tcPr>
            <w:tcW w:w="216" w:type="pct"/>
            <w:vAlign w:val="center"/>
          </w:tcPr>
          <w:p w:rsidR="00A81066" w:rsidRPr="005D04E8" w:rsidRDefault="00A81066" w:rsidP="00D41ABD">
            <w:pPr>
              <w:rPr>
                <w:sz w:val="20"/>
              </w:rPr>
            </w:pPr>
            <w:r>
              <w:rPr>
                <w:sz w:val="20"/>
              </w:rPr>
              <w:t>4.</w:t>
            </w:r>
          </w:p>
        </w:tc>
        <w:tc>
          <w:tcPr>
            <w:tcW w:w="1267" w:type="pct"/>
            <w:vAlign w:val="center"/>
          </w:tcPr>
          <w:p w:rsidR="00A81066" w:rsidRPr="005D04E8" w:rsidRDefault="00A81066" w:rsidP="00BF6954">
            <w:pPr>
              <w:widowControl w:val="0"/>
              <w:jc w:val="both"/>
              <w:rPr>
                <w:noProof/>
                <w:sz w:val="20"/>
              </w:rPr>
            </w:pPr>
            <w:r>
              <w:rPr>
                <w:noProof/>
                <w:sz w:val="20"/>
              </w:rPr>
              <w:t>Придбання фігурної металевої конструкції для встановлення на пло</w:t>
            </w:r>
            <w:r w:rsidR="00BF6954">
              <w:rPr>
                <w:noProof/>
                <w:sz w:val="20"/>
              </w:rPr>
              <w:t>щ</w:t>
            </w:r>
            <w:r>
              <w:rPr>
                <w:noProof/>
                <w:sz w:val="20"/>
              </w:rPr>
              <w:t>і Свободи міста Глухів</w:t>
            </w:r>
          </w:p>
        </w:tc>
        <w:tc>
          <w:tcPr>
            <w:tcW w:w="350" w:type="pct"/>
            <w:vAlign w:val="center"/>
          </w:tcPr>
          <w:p w:rsidR="00A81066" w:rsidRPr="005D04E8" w:rsidRDefault="00A81066" w:rsidP="00D41ABD">
            <w:pPr>
              <w:jc w:val="center"/>
              <w:rPr>
                <w:b/>
                <w:sz w:val="20"/>
              </w:rPr>
            </w:pPr>
            <w:r w:rsidRPr="005D04E8">
              <w:rPr>
                <w:noProof/>
                <w:sz w:val="20"/>
              </w:rPr>
              <w:t>2023 рік</w:t>
            </w:r>
          </w:p>
        </w:tc>
        <w:tc>
          <w:tcPr>
            <w:tcW w:w="1001" w:type="pct"/>
            <w:vAlign w:val="center"/>
          </w:tcPr>
          <w:p w:rsidR="00A81066" w:rsidRPr="005D04E8" w:rsidRDefault="00A81066" w:rsidP="00D41ABD">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A81066" w:rsidRPr="005D04E8" w:rsidRDefault="00A81066" w:rsidP="00D41ABD">
            <w:pPr>
              <w:jc w:val="center"/>
              <w:rPr>
                <w:sz w:val="20"/>
              </w:rPr>
            </w:pPr>
          </w:p>
        </w:tc>
        <w:tc>
          <w:tcPr>
            <w:tcW w:w="316" w:type="pct"/>
            <w:vAlign w:val="center"/>
          </w:tcPr>
          <w:p w:rsidR="00A81066" w:rsidRPr="005D04E8" w:rsidRDefault="00A81066" w:rsidP="00D41ABD">
            <w:pPr>
              <w:jc w:val="center"/>
              <w:rPr>
                <w:sz w:val="20"/>
              </w:rPr>
            </w:pPr>
          </w:p>
        </w:tc>
        <w:tc>
          <w:tcPr>
            <w:tcW w:w="332" w:type="pct"/>
            <w:vAlign w:val="center"/>
          </w:tcPr>
          <w:p w:rsidR="00A81066" w:rsidRPr="005D04E8" w:rsidRDefault="00A81066"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900" w:type="pct"/>
            <w:vAlign w:val="center"/>
          </w:tcPr>
          <w:p w:rsidR="00A81066" w:rsidRDefault="00A81066" w:rsidP="00D41ABD">
            <w:pPr>
              <w:jc w:val="center"/>
              <w:rPr>
                <w:sz w:val="20"/>
              </w:rPr>
            </w:pPr>
            <w:r>
              <w:rPr>
                <w:sz w:val="20"/>
              </w:rPr>
              <w:t>Створення комфортних умов</w:t>
            </w:r>
          </w:p>
          <w:p w:rsidR="00A81066" w:rsidRPr="005D04E8" w:rsidRDefault="00A81066" w:rsidP="00D41ABD">
            <w:pPr>
              <w:rPr>
                <w:sz w:val="20"/>
              </w:rPr>
            </w:pPr>
            <w:r>
              <w:rPr>
                <w:sz w:val="20"/>
              </w:rPr>
              <w:t>для</w:t>
            </w:r>
            <w:r w:rsidRPr="005D04E8">
              <w:rPr>
                <w:sz w:val="20"/>
              </w:rPr>
              <w:t xml:space="preserve"> проведення дозвілля жителів громади</w:t>
            </w:r>
          </w:p>
        </w:tc>
      </w:tr>
      <w:tr w:rsidR="00A81066" w:rsidRPr="005D04E8" w:rsidTr="00D41ABD">
        <w:trPr>
          <w:trHeight w:val="226"/>
          <w:jc w:val="center"/>
        </w:trPr>
        <w:tc>
          <w:tcPr>
            <w:tcW w:w="3467" w:type="pct"/>
            <w:gridSpan w:val="6"/>
            <w:vAlign w:val="center"/>
          </w:tcPr>
          <w:p w:rsidR="00A81066" w:rsidRPr="005D04E8" w:rsidRDefault="00A81066" w:rsidP="00D41ABD">
            <w:pPr>
              <w:jc w:val="right"/>
              <w:rPr>
                <w:sz w:val="20"/>
              </w:rPr>
            </w:pPr>
            <w:r>
              <w:rPr>
                <w:sz w:val="20"/>
              </w:rPr>
              <w:t>Всього по завданню 3</w:t>
            </w:r>
            <w:r w:rsidRPr="005D04E8">
              <w:rPr>
                <w:sz w:val="20"/>
              </w:rPr>
              <w:t>:</w:t>
            </w:r>
          </w:p>
        </w:tc>
        <w:tc>
          <w:tcPr>
            <w:tcW w:w="332" w:type="pct"/>
            <w:vAlign w:val="center"/>
          </w:tcPr>
          <w:p w:rsidR="00A81066" w:rsidRPr="005D04E8" w:rsidRDefault="00544243"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900" w:type="pct"/>
            <w:vAlign w:val="center"/>
          </w:tcPr>
          <w:p w:rsidR="00A81066" w:rsidRPr="005D04E8" w:rsidRDefault="00A81066" w:rsidP="00D41ABD">
            <w:pPr>
              <w:jc w:val="center"/>
              <w:rPr>
                <w:sz w:val="20"/>
              </w:rPr>
            </w:pPr>
          </w:p>
        </w:tc>
      </w:tr>
    </w:tbl>
    <w:p w:rsidR="00A81066" w:rsidRPr="005D04E8" w:rsidRDefault="00A81066" w:rsidP="00A81066">
      <w:pPr>
        <w:rPr>
          <w:sz w:val="20"/>
        </w:rPr>
      </w:pPr>
    </w:p>
    <w:p w:rsidR="00A81066" w:rsidRDefault="00A81066" w:rsidP="00A81066">
      <w:pPr>
        <w:rPr>
          <w:b/>
          <w:szCs w:val="28"/>
        </w:rPr>
      </w:pPr>
      <w:r>
        <w:rPr>
          <w:b/>
          <w:szCs w:val="28"/>
        </w:rPr>
        <w:t xml:space="preserve">            </w:t>
      </w:r>
    </w:p>
    <w:p w:rsidR="00A81066" w:rsidRPr="005D04E8" w:rsidRDefault="00A81066" w:rsidP="00A81066">
      <w:pPr>
        <w:ind w:firstLine="708"/>
        <w:rPr>
          <w:b/>
          <w:szCs w:val="28"/>
        </w:rPr>
      </w:pPr>
      <w:r w:rsidRPr="005D04E8">
        <w:rPr>
          <w:b/>
          <w:szCs w:val="28"/>
        </w:rPr>
        <w:t xml:space="preserve">Заступник міського голови </w:t>
      </w:r>
      <w:r w:rsidRPr="005D04E8">
        <w:rPr>
          <w:b/>
          <w:szCs w:val="28"/>
          <w:lang w:val="ru-RU"/>
        </w:rPr>
        <w:t xml:space="preserve"> </w:t>
      </w:r>
      <w:r w:rsidRPr="005D04E8">
        <w:rPr>
          <w:b/>
          <w:szCs w:val="28"/>
        </w:rPr>
        <w:t xml:space="preserve">з питань діяльності виконавчих </w:t>
      </w:r>
    </w:p>
    <w:p w:rsidR="00A81066" w:rsidRPr="005D04E8" w:rsidRDefault="00A81066" w:rsidP="00A81066">
      <w:pPr>
        <w:rPr>
          <w:b/>
          <w:szCs w:val="28"/>
          <w:lang w:val="ru-RU"/>
        </w:rPr>
        <w:sectPr w:rsidR="00A81066" w:rsidRPr="005D04E8" w:rsidSect="00232DD4">
          <w:pgSz w:w="16838" w:h="11906" w:orient="landscape" w:code="9"/>
          <w:pgMar w:top="709" w:right="1134" w:bottom="142" w:left="1134" w:header="709" w:footer="709" w:gutter="0"/>
          <w:cols w:space="708"/>
          <w:titlePg/>
          <w:docGrid w:linePitch="360"/>
        </w:sectPr>
      </w:pPr>
      <w:r>
        <w:rPr>
          <w:b/>
          <w:szCs w:val="28"/>
        </w:rPr>
        <w:t xml:space="preserve">          </w:t>
      </w:r>
      <w:r w:rsidRPr="005D04E8">
        <w:rPr>
          <w:b/>
          <w:szCs w:val="28"/>
        </w:rPr>
        <w:t xml:space="preserve">органів міської ради                                  </w:t>
      </w:r>
      <w:r w:rsidRPr="005D04E8">
        <w:rPr>
          <w:b/>
          <w:szCs w:val="28"/>
          <w:lang w:val="ru-RU"/>
        </w:rPr>
        <w:t xml:space="preserve">          </w:t>
      </w:r>
      <w:r w:rsidRPr="005D04E8">
        <w:rPr>
          <w:b/>
          <w:szCs w:val="28"/>
        </w:rPr>
        <w:t xml:space="preserve">   </w:t>
      </w:r>
      <w:r>
        <w:rPr>
          <w:b/>
          <w:szCs w:val="28"/>
        </w:rPr>
        <w:t xml:space="preserve">                                  </w:t>
      </w:r>
      <w:r w:rsidRPr="005D04E8">
        <w:rPr>
          <w:b/>
          <w:szCs w:val="28"/>
        </w:rPr>
        <w:t xml:space="preserve">                  Маріанна ВАСИЛЬЄВ</w:t>
      </w:r>
      <w:r w:rsidRPr="005D04E8">
        <w:rPr>
          <w:b/>
          <w:szCs w:val="28"/>
          <w:lang w:val="ru-RU"/>
        </w:rPr>
        <w:t>А</w:t>
      </w:r>
    </w:p>
    <w:p w:rsidR="00A81066" w:rsidRDefault="00A81066" w:rsidP="00A81066"/>
    <w:p w:rsidR="00A81066" w:rsidRPr="00BA68F8" w:rsidRDefault="00A81066" w:rsidP="00A81066">
      <w:pPr>
        <w:pStyle w:val="a3"/>
        <w:widowControl w:val="0"/>
        <w:rPr>
          <w:szCs w:val="24"/>
        </w:rPr>
      </w:pPr>
    </w:p>
    <w:p w:rsidR="001F0791" w:rsidRDefault="001F0791"/>
    <w:sectPr w:rsidR="001F0791" w:rsidSect="00015F17">
      <w:pgSz w:w="16838" w:h="11906" w:orient="landscape"/>
      <w:pgMar w:top="851" w:right="1134" w:bottom="1701"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7B2"/>
    <w:rsid w:val="001F0791"/>
    <w:rsid w:val="002E5F61"/>
    <w:rsid w:val="00544243"/>
    <w:rsid w:val="005B67B2"/>
    <w:rsid w:val="00902C1B"/>
    <w:rsid w:val="00A21B96"/>
    <w:rsid w:val="00A81066"/>
    <w:rsid w:val="00BF6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716E7"/>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A8106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у виносці Знак"/>
    <w:basedOn w:val="a0"/>
    <w:link w:val="a5"/>
    <w:uiPriority w:val="99"/>
    <w:semiHidden/>
    <w:rsid w:val="0054424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1846</Words>
  <Characters>1053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 Finder</cp:lastModifiedBy>
  <cp:revision>7</cp:revision>
  <cp:lastPrinted>2023-11-08T07:34:00Z</cp:lastPrinted>
  <dcterms:created xsi:type="dcterms:W3CDTF">2023-11-02T12:19:00Z</dcterms:created>
  <dcterms:modified xsi:type="dcterms:W3CDTF">2024-11-26T11:28:00Z</dcterms:modified>
</cp:coreProperties>
</file>