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4F0013F7" w:rsidR="001C539E" w:rsidRPr="001C539E" w:rsidRDefault="00FD61D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  <w:lang w:val="uk-UA"/>
        </w:rPr>
        <w:t>ЯТНАД</w:t>
      </w:r>
      <w:r w:rsidR="00BB5A69">
        <w:rPr>
          <w:b/>
          <w:sz w:val="28"/>
          <w:szCs w:val="28"/>
          <w:lang w:val="uk-UA"/>
        </w:rPr>
        <w:t>ЦЯТА</w:t>
      </w:r>
      <w:r w:rsidR="001C539E" w:rsidRPr="001C539E">
        <w:rPr>
          <w:b/>
          <w:sz w:val="28"/>
          <w:szCs w:val="28"/>
          <w:lang w:val="uk-UA"/>
        </w:rPr>
        <w:t xml:space="preserve"> 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486CD551" w:rsidR="001C539E" w:rsidRPr="001C539E" w:rsidRDefault="00AB27AF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30928">
        <w:rPr>
          <w:rFonts w:ascii="Times New Roman" w:hAnsi="Times New Roman"/>
          <w:sz w:val="28"/>
          <w:szCs w:val="24"/>
        </w:rPr>
        <w:t>07.04.2022</w:t>
      </w:r>
      <w:r w:rsidR="00B75997">
        <w:rPr>
          <w:rFonts w:ascii="Times New Roman" w:hAnsi="Times New Roman"/>
          <w:sz w:val="28"/>
          <w:szCs w:val="28"/>
          <w:lang w:val="uk-UA"/>
        </w:rPr>
        <w:tab/>
        <w:t xml:space="preserve">м. Глухів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05434">
        <w:rPr>
          <w:rFonts w:ascii="Times New Roman" w:hAnsi="Times New Roman"/>
          <w:sz w:val="28"/>
          <w:szCs w:val="28"/>
          <w:lang w:val="uk-UA"/>
        </w:rPr>
        <w:t xml:space="preserve"> 460</w:t>
      </w:r>
    </w:p>
    <w:p w14:paraId="6740B7D5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0D24E1B" w14:textId="77777777" w:rsidR="00FD61DA" w:rsidRPr="0025486D" w:rsidRDefault="00FD61DA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bookmarkStart w:id="0" w:name="_Hlk63241776"/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Програми </w:t>
      </w:r>
      <w:bookmarkEnd w:id="0"/>
      <w:r w:rsidRPr="00BB33DF">
        <w:rPr>
          <w:rFonts w:ascii="Times New Roman" w:hAnsi="Times New Roman"/>
          <w:b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</w:p>
    <w:p w14:paraId="072597B9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483A4416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6B2C242A" w14:textId="58D674D8" w:rsidR="00074E36" w:rsidRDefault="00074E36" w:rsidP="001C539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74E36">
        <w:rPr>
          <w:rFonts w:ascii="Times New Roman" w:hAnsi="Times New Roman"/>
          <w:sz w:val="28"/>
          <w:szCs w:val="28"/>
          <w:lang w:val="uk-UA"/>
        </w:rPr>
        <w:t xml:space="preserve">Розглянувши поданий виконавчим комітетом міської ради проект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Pr="00074E36">
        <w:rPr>
          <w:rFonts w:ascii="Times New Roman" w:hAnsi="Times New Roman"/>
          <w:sz w:val="28"/>
          <w:szCs w:val="28"/>
          <w:lang w:val="uk-UA"/>
        </w:rPr>
        <w:t>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рік, керуючись пунктом 22 частини першої статті 26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074E36">
        <w:rPr>
          <w:rFonts w:ascii="Times New Roman" w:hAnsi="Times New Roman"/>
          <w:sz w:val="28"/>
          <w:szCs w:val="28"/>
          <w:lang w:val="uk-UA"/>
        </w:rPr>
        <w:t xml:space="preserve"> статтею 59 Закону України «Про місцеве самоврядування в Україні», </w:t>
      </w:r>
      <w:r w:rsidRPr="00074E36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40416ACF" w14:textId="342011E5" w:rsidR="00074E36" w:rsidRDefault="00074E36" w:rsidP="00074E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1. </w:t>
      </w:r>
      <w:r>
        <w:rPr>
          <w:rFonts w:ascii="Times New Roman" w:hAnsi="Times New Roman"/>
          <w:sz w:val="28"/>
          <w:szCs w:val="28"/>
          <w:lang w:val="uk-UA" w:eastAsia="ru-RU"/>
        </w:rPr>
        <w:t>Внести зміни до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цільової Програми </w:t>
      </w:r>
      <w:r w:rsidRPr="00BB33DF">
        <w:rPr>
          <w:rFonts w:ascii="Times New Roman" w:hAnsi="Times New Roman"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(надалі – Програма), затвердженої рішенням Глухівської міської ради від 22.12.2021 № 410, а саме:</w:t>
      </w:r>
    </w:p>
    <w:p w14:paraId="28AB4CCF" w14:textId="77777777" w:rsidR="00074E36" w:rsidRDefault="00074E36" w:rsidP="00074E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1) викласти додаток 1 до Програми у новій редакції (додається);</w:t>
      </w:r>
    </w:p>
    <w:p w14:paraId="4EAE7139" w14:textId="77777777" w:rsidR="00074E36" w:rsidRDefault="00074E36" w:rsidP="00074E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2) викласти додаток 2 до Програми у новій редакції (додається).</w:t>
      </w:r>
    </w:p>
    <w:p w14:paraId="441EFEA6" w14:textId="4C925649" w:rsidR="00074E36" w:rsidRPr="00074E36" w:rsidRDefault="00074E36" w:rsidP="00074E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074E36">
        <w:rPr>
          <w:rFonts w:ascii="Times New Roman" w:hAnsi="Times New Roman"/>
          <w:sz w:val="28"/>
          <w:szCs w:val="28"/>
          <w:lang w:val="uk-UA"/>
        </w:rPr>
        <w:t xml:space="preserve">. Контроль за виконанням цього рішення та Програми покласти на заступника міського голови з питань діяльності виконавчих органів міської ради </w:t>
      </w:r>
      <w:proofErr w:type="spellStart"/>
      <w:r w:rsidRPr="00074E36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074E36">
        <w:rPr>
          <w:rFonts w:ascii="Times New Roman" w:hAnsi="Times New Roman"/>
          <w:sz w:val="28"/>
          <w:szCs w:val="28"/>
          <w:lang w:val="uk-UA"/>
        </w:rPr>
        <w:t xml:space="preserve"> В.Е. та на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14:paraId="1195691C" w14:textId="77777777" w:rsidR="009D1FD6" w:rsidRDefault="009D1FD6" w:rsidP="001C5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501D38D7" w14:textId="77777777" w:rsidR="00074E36" w:rsidRPr="00275DBD" w:rsidRDefault="00074E36" w:rsidP="001C5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0B687398" w14:textId="77777777" w:rsidR="009F5163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20592B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p w14:paraId="1A80364B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3AFAD5E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59ACBFC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E905E68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382B025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7AC58A7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9D1D703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EF7707E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bookmarkStart w:id="1" w:name="_Hlk83894827"/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Додаток 1</w:t>
      </w:r>
    </w:p>
    <w:p w14:paraId="44A16E8B" w14:textId="21DBC9B2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до рішення міської ради  </w:t>
      </w:r>
    </w:p>
    <w:p w14:paraId="001A9282" w14:textId="47A046F1" w:rsidR="009F5163" w:rsidRDefault="00B75997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B30928">
        <w:rPr>
          <w:rFonts w:ascii="Times New Roman" w:hAnsi="Times New Roman"/>
          <w:sz w:val="28"/>
        </w:rPr>
        <w:t>07.04.2022</w:t>
      </w:r>
      <w:r w:rsidRPr="00B30928">
        <w:rPr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№ </w:t>
      </w:r>
      <w:r w:rsidR="00005434">
        <w:rPr>
          <w:rFonts w:ascii="Times New Roman" w:hAnsi="Times New Roman"/>
          <w:sz w:val="28"/>
          <w:szCs w:val="28"/>
          <w:lang w:val="uk-UA" w:eastAsia="uk-UA" w:bidi="uk-UA"/>
        </w:rPr>
        <w:t xml:space="preserve"> 460</w:t>
      </w:r>
    </w:p>
    <w:p w14:paraId="167327B2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07D574BB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5AC6A06B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Додаток 1</w:t>
      </w:r>
    </w:p>
    <w:p w14:paraId="11051F64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Програми </w:t>
      </w:r>
    </w:p>
    <w:bookmarkEnd w:id="1"/>
    <w:p w14:paraId="0C920850" w14:textId="77777777" w:rsidR="009F5163" w:rsidRPr="00920F00" w:rsidRDefault="009F5163" w:rsidP="009F5163">
      <w:pPr>
        <w:spacing w:after="0" w:line="240" w:lineRule="auto"/>
        <w:ind w:left="6237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59559564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4350FD3D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b/>
          <w:bCs/>
          <w:sz w:val="28"/>
          <w:szCs w:val="28"/>
          <w:lang w:val="uk-UA" w:eastAsia="uk-UA" w:bidi="uk-UA"/>
        </w:rPr>
        <w:t>ПОРЯДОК</w:t>
      </w:r>
    </w:p>
    <w:p w14:paraId="150FD3D2" w14:textId="77777777" w:rsidR="009F5163" w:rsidRPr="00920F00" w:rsidRDefault="009F5163" w:rsidP="009F5163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розрахунків, обліку та відшкодування різниці в тарифах </w:t>
      </w:r>
    </w:p>
    <w:p w14:paraId="1B3DDDC8" w14:textId="77777777" w:rsidR="009F5163" w:rsidRPr="00920F00" w:rsidRDefault="009F5163" w:rsidP="009F5163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на послуги з постачання теплової енергії для споживачів категорії «населення» у випадку невідповідності фактичної вартості послуг встановленим тарифам</w:t>
      </w:r>
    </w:p>
    <w:p w14:paraId="2F7207DE" w14:textId="77777777" w:rsidR="009F5163" w:rsidRPr="00920F00" w:rsidRDefault="009F5163" w:rsidP="009F5163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44A48AB1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br/>
        <w:t xml:space="preserve">КП «Глухівський тепловий район» різниці між діючими тарифами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на послуги з постачання теплової енергії для споживачів категорії «населення»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7769873B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послуги, Глухівська міська рада передбачає у бюджеті громади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у сумі 3000 тис. грн. на 2022 рік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2675E7F5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3. КП «Глухівський тепловий район» готує розрахунки з різниці в тарифах за формою згідно з додатком 2 Програми та подає </w:t>
      </w:r>
      <w:r w:rsidRPr="004D7CEA">
        <w:rPr>
          <w:rFonts w:ascii="Times New Roman" w:hAnsi="Times New Roman"/>
          <w:sz w:val="28"/>
          <w:szCs w:val="28"/>
          <w:lang w:val="uk-UA" w:eastAsia="uk-UA" w:bidi="uk-UA"/>
        </w:rPr>
        <w:t>Головному розпоряднику коштів</w:t>
      </w:r>
      <w:r w:rsidRPr="004830F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для погодження.</w:t>
      </w:r>
    </w:p>
    <w:p w14:paraId="14506FB5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4. Головний розпорядник коштів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після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погодження розрахунків з різниці в тарифах,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у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межах бюджету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громади та</w:t>
      </w:r>
      <w:r w:rsidRPr="0019790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обсягу фінансування Програми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, проводить відшкодування витрат, що пов’язані з дією цін/тарифів на послуги, нижчих від розміру економічно обґрунтованих тарифів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, після</w:t>
      </w:r>
      <w:r w:rsidRPr="004D7CEA">
        <w:rPr>
          <w:lang w:val="uk-UA"/>
        </w:rPr>
        <w:t xml:space="preserve"> </w:t>
      </w:r>
      <w:r w:rsidRPr="004D7CEA">
        <w:rPr>
          <w:rFonts w:ascii="Times New Roman" w:hAnsi="Times New Roman"/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6CDA3417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5. Перерахування коштів здійснюється помісячно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в опалювальний період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на рахунок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КП «Глухівський тепловий район», що відкритий </w:t>
      </w:r>
      <w:r w:rsidRPr="00A40A78">
        <w:rPr>
          <w:rFonts w:ascii="Times New Roman" w:hAnsi="Times New Roman"/>
          <w:sz w:val="28"/>
          <w:szCs w:val="28"/>
          <w:lang w:val="uk-UA" w:eastAsia="uk-UA" w:bidi="uk-UA"/>
        </w:rPr>
        <w:t>в територіальному органі Казначейства України, або на поточні рахунки у банках державного сектору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025985D5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3F6FE045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4B1E9366" w14:textId="23FED5B7" w:rsidR="009F5163" w:rsidRPr="009F5163" w:rsidRDefault="009F5163" w:rsidP="009F5163">
      <w:pPr>
        <w:tabs>
          <w:tab w:val="left" w:pos="7088"/>
        </w:tabs>
        <w:spacing w:after="0" w:line="240" w:lineRule="auto"/>
        <w:rPr>
          <w:rFonts w:ascii="Times New Roman" w:hAnsi="Times New Roman"/>
          <w:lang w:val="uk-UA"/>
        </w:rPr>
      </w:pPr>
      <w:r w:rsidRPr="009F5163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6D1762F1" w14:textId="4127449E" w:rsidR="00115A2C" w:rsidRDefault="00115A2C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br w:type="page"/>
      </w:r>
    </w:p>
    <w:p w14:paraId="3C630CFB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Додаток 2</w:t>
      </w:r>
    </w:p>
    <w:p w14:paraId="7426C775" w14:textId="031505AE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до рішення міської ради  </w:t>
      </w:r>
    </w:p>
    <w:p w14:paraId="0EBEC8EB" w14:textId="60F76D6A" w:rsidR="009F5163" w:rsidRDefault="00B75997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B30928">
        <w:rPr>
          <w:rFonts w:ascii="Times New Roman" w:hAnsi="Times New Roman"/>
          <w:sz w:val="28"/>
        </w:rPr>
        <w:t>07.04.2022</w:t>
      </w:r>
      <w:r w:rsidRPr="00B30928">
        <w:rPr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№ </w:t>
      </w:r>
      <w:r w:rsidR="00005434">
        <w:rPr>
          <w:rFonts w:ascii="Times New Roman" w:hAnsi="Times New Roman"/>
          <w:sz w:val="28"/>
          <w:szCs w:val="28"/>
          <w:lang w:val="uk-UA" w:eastAsia="uk-UA" w:bidi="uk-UA"/>
        </w:rPr>
        <w:t>460</w:t>
      </w:r>
      <w:bookmarkStart w:id="2" w:name="_GoBack"/>
      <w:bookmarkEnd w:id="2"/>
    </w:p>
    <w:p w14:paraId="482EAB20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</w:p>
    <w:p w14:paraId="5887A7DF" w14:textId="77777777" w:rsidR="009F5163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 w:hanging="851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</w:p>
    <w:p w14:paraId="4167B69A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 w:hanging="851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t>Додаток 2</w:t>
      </w:r>
    </w:p>
    <w:p w14:paraId="42D512D4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 w:hanging="851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eastAsia="Calibri" w:hAnsi="Times New Roman"/>
          <w:iCs/>
          <w:sz w:val="28"/>
          <w:szCs w:val="28"/>
          <w:lang w:val="uk-UA"/>
        </w:rPr>
        <w:t xml:space="preserve">Програми </w:t>
      </w:r>
    </w:p>
    <w:p w14:paraId="0340238A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</w:p>
    <w:p w14:paraId="4EA01469" w14:textId="77777777" w:rsidR="009F5163" w:rsidRDefault="009F5163" w:rsidP="009F516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14:paraId="6E3BF196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0CAFF87D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55DC8397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07B109D5" w14:textId="77777777" w:rsidR="009F5163" w:rsidRPr="00920F00" w:rsidRDefault="009F5163" w:rsidP="009F5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КП «Глухівський тепловий район»</w:t>
      </w:r>
    </w:p>
    <w:p w14:paraId="2DD2D8EB" w14:textId="77777777" w:rsidR="009F5163" w:rsidRPr="00920F00" w:rsidRDefault="009F5163" w:rsidP="009F5163">
      <w:pPr>
        <w:spacing w:after="160" w:line="256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269"/>
        <w:gridCol w:w="2553"/>
      </w:tblGrid>
      <w:tr w:rsidR="009F5163" w:rsidRPr="004A0AFD" w14:paraId="58759269" w14:textId="77777777" w:rsidTr="00CC57AD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86D1E" w14:textId="77777777" w:rsidR="009F5163" w:rsidRPr="00920F00" w:rsidRDefault="009F5163" w:rsidP="00CC57AD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Місяць,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EBEC9" w14:textId="77777777" w:rsidR="009F5163" w:rsidRPr="00920F00" w:rsidRDefault="009F5163" w:rsidP="00CC57AD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Фактична реалізація теплової енергії по населенню,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Гкал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A0946" w14:textId="77777777" w:rsidR="009F5163" w:rsidRPr="00920F00" w:rsidRDefault="009F5163" w:rsidP="00CC57AD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Різниця вартості 1 Гкал для населення між економічно обґрунтованим тарифом та діючим</w:t>
            </w: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29D9F" w14:textId="77777777" w:rsidR="009F5163" w:rsidRPr="003F096E" w:rsidRDefault="009F5163" w:rsidP="00CC57AD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Сума відшкодування різниці в тарифах на послуги з постачання теплової енергії для споживачів категорії «населення»,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</w:tr>
      <w:tr w:rsidR="009F5163" w:rsidRPr="004A0AFD" w14:paraId="522ADDC3" w14:textId="77777777" w:rsidTr="00CC57AD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EA215" w14:textId="77777777" w:rsidR="009F5163" w:rsidRPr="00920F00" w:rsidRDefault="009F5163" w:rsidP="00CC57AD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CD499" w14:textId="77777777" w:rsidR="009F5163" w:rsidRPr="00920F00" w:rsidRDefault="009F5163" w:rsidP="00CC57AD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4CAAD" w14:textId="77777777" w:rsidR="009F5163" w:rsidRPr="00920F00" w:rsidRDefault="009F5163" w:rsidP="00CC57AD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0133" w14:textId="77777777" w:rsidR="009F5163" w:rsidRPr="00920F00" w:rsidRDefault="009F5163" w:rsidP="00CC57AD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14:paraId="518A72AE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lang w:val="uk-UA" w:eastAsia="uk-UA" w:bidi="uk-UA"/>
        </w:rPr>
      </w:pPr>
      <w:r w:rsidRPr="00920F00">
        <w:rPr>
          <w:rFonts w:ascii="Times New Roman" w:eastAsia="Calibri" w:hAnsi="Times New Roman"/>
          <w:lang w:val="uk-UA" w:eastAsia="uk-UA" w:bidi="uk-UA"/>
        </w:rPr>
        <w:t> </w:t>
      </w:r>
    </w:p>
    <w:p w14:paraId="475E6C2E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p w14:paraId="0C68FAEE" w14:textId="77777777" w:rsidR="009F5163" w:rsidRPr="00920F00" w:rsidRDefault="009F5163" w:rsidP="009F51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9F5163" w:rsidRPr="00920F00" w14:paraId="701BCBBA" w14:textId="77777777" w:rsidTr="00CC57AD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2440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7008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D95E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F5163" w:rsidRPr="00920F00" w14:paraId="7DF08353" w14:textId="77777777" w:rsidTr="00CC57AD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A3F1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3AAE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EEDE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F5163" w:rsidRPr="00920F00" w14:paraId="44019624" w14:textId="77777777" w:rsidTr="00CC57AD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0EB3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B321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EB7B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</w:tr>
      <w:tr w:rsidR="009F5163" w:rsidRPr="00920F00" w14:paraId="5051D1C4" w14:textId="77777777" w:rsidTr="00CC57AD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AF5C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</w:p>
          <w:p w14:paraId="1EF90C74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822D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CF7E" w14:textId="77777777" w:rsidR="009F5163" w:rsidRPr="00920F00" w:rsidRDefault="009F5163" w:rsidP="00CC5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</w:tr>
    </w:tbl>
    <w:p w14:paraId="113AD623" w14:textId="77777777" w:rsidR="009F5163" w:rsidRDefault="009F5163" w:rsidP="009F5163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935A986" w14:textId="77777777" w:rsidR="009F5163" w:rsidRDefault="009F5163" w:rsidP="009F5163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B010573" w14:textId="77777777" w:rsidR="009F5163" w:rsidRPr="009F5163" w:rsidRDefault="009F5163" w:rsidP="009F5163">
      <w:pPr>
        <w:tabs>
          <w:tab w:val="left" w:pos="7088"/>
        </w:tabs>
        <w:spacing w:after="0" w:line="240" w:lineRule="auto"/>
        <w:rPr>
          <w:rFonts w:ascii="Times New Roman" w:hAnsi="Times New Roman"/>
          <w:lang w:val="uk-UA"/>
        </w:rPr>
      </w:pPr>
      <w:r w:rsidRPr="009F5163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6AFB9C91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51B25100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40DA3D40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0F6C8856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51B6F4AD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72D57BD8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02FCF5FF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3D75FA19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72086F57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48A460C7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65219C04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556B2A9B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0B4E5E65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5887F340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728BBEAE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761F10A5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20CE7850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2BEA5DF8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p w14:paraId="5923C2D1" w14:textId="77777777" w:rsidR="009F5163" w:rsidRDefault="009F5163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</w:p>
    <w:sectPr w:rsidR="009F5163" w:rsidSect="00D50D27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C00BE" w14:textId="77777777" w:rsidR="000F624E" w:rsidRDefault="000F624E">
      <w:r>
        <w:separator/>
      </w:r>
    </w:p>
  </w:endnote>
  <w:endnote w:type="continuationSeparator" w:id="0">
    <w:p w14:paraId="311FAE85" w14:textId="77777777" w:rsidR="000F624E" w:rsidRDefault="000F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CBA3B" w14:textId="77777777" w:rsidR="000F624E" w:rsidRDefault="000F624E">
      <w:r>
        <w:separator/>
      </w:r>
    </w:p>
  </w:footnote>
  <w:footnote w:type="continuationSeparator" w:id="0">
    <w:p w14:paraId="40243615" w14:textId="77777777" w:rsidR="000F624E" w:rsidRDefault="000F6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05434"/>
    <w:rsid w:val="0001131D"/>
    <w:rsid w:val="00025E7A"/>
    <w:rsid w:val="000338D9"/>
    <w:rsid w:val="00041A66"/>
    <w:rsid w:val="00047A9D"/>
    <w:rsid w:val="00050115"/>
    <w:rsid w:val="000560E3"/>
    <w:rsid w:val="000563FF"/>
    <w:rsid w:val="00060877"/>
    <w:rsid w:val="00060FDB"/>
    <w:rsid w:val="0006551F"/>
    <w:rsid w:val="00066122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0F624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23FA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91C"/>
    <w:rsid w:val="00220942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75DBD"/>
    <w:rsid w:val="0028643D"/>
    <w:rsid w:val="00290588"/>
    <w:rsid w:val="00291A0A"/>
    <w:rsid w:val="002A1262"/>
    <w:rsid w:val="002A1301"/>
    <w:rsid w:val="002A3E1E"/>
    <w:rsid w:val="002A4D0E"/>
    <w:rsid w:val="002B139D"/>
    <w:rsid w:val="002B2AD3"/>
    <w:rsid w:val="002B3895"/>
    <w:rsid w:val="002B52F8"/>
    <w:rsid w:val="002C14C8"/>
    <w:rsid w:val="002C644C"/>
    <w:rsid w:val="002C6A98"/>
    <w:rsid w:val="002D1735"/>
    <w:rsid w:val="002D3613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533C"/>
    <w:rsid w:val="00631C78"/>
    <w:rsid w:val="00635018"/>
    <w:rsid w:val="00636885"/>
    <w:rsid w:val="00640F64"/>
    <w:rsid w:val="00644EE7"/>
    <w:rsid w:val="00647CF9"/>
    <w:rsid w:val="00670A35"/>
    <w:rsid w:val="00677AC9"/>
    <w:rsid w:val="00680B91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BAF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41FF"/>
    <w:rsid w:val="008B64F5"/>
    <w:rsid w:val="008C03DF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5F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5163"/>
    <w:rsid w:val="009F6CB8"/>
    <w:rsid w:val="00A076EC"/>
    <w:rsid w:val="00A13D04"/>
    <w:rsid w:val="00A16128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27AF"/>
    <w:rsid w:val="00AB30B7"/>
    <w:rsid w:val="00AB4DDC"/>
    <w:rsid w:val="00AB74B6"/>
    <w:rsid w:val="00AB754A"/>
    <w:rsid w:val="00AB78F0"/>
    <w:rsid w:val="00AC0AD0"/>
    <w:rsid w:val="00AC2D17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0928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5997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B5A69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3C69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99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99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99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99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9</cp:revision>
  <cp:lastPrinted>2022-01-20T12:04:00Z</cp:lastPrinted>
  <dcterms:created xsi:type="dcterms:W3CDTF">2022-02-15T11:50:00Z</dcterms:created>
  <dcterms:modified xsi:type="dcterms:W3CDTF">2022-04-06T07:26:00Z</dcterms:modified>
</cp:coreProperties>
</file>