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7F7" w:rsidRDefault="005D6C8D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7507F7" w:rsidRDefault="005D6C8D">
      <w:pPr>
        <w:spacing w:after="21" w:line="259" w:lineRule="auto"/>
        <w:ind w:left="57" w:firstLine="0"/>
        <w:jc w:val="center"/>
      </w:pPr>
      <w:r>
        <w:rPr>
          <w:noProof/>
        </w:rPr>
        <w:drawing>
          <wp:inline distT="0" distB="0" distL="0" distR="0">
            <wp:extent cx="476325" cy="590466"/>
            <wp:effectExtent l="0" t="0" r="0" b="0"/>
            <wp:docPr id="184" name="Picture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325" cy="590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7507F7" w:rsidRDefault="005D6C8D">
      <w:pPr>
        <w:spacing w:after="29" w:line="259" w:lineRule="auto"/>
        <w:ind w:left="10" w:right="1" w:hanging="10"/>
        <w:jc w:val="center"/>
      </w:pPr>
      <w:r>
        <w:rPr>
          <w:b/>
          <w:sz w:val="28"/>
        </w:rPr>
        <w:t>ГЛУХІВСЬКА МІСЬКА РАДА СУМСЬКОЇ ОБЛАСТІ</w:t>
      </w:r>
      <w:r>
        <w:rPr>
          <w:sz w:val="28"/>
        </w:rPr>
        <w:t xml:space="preserve"> </w:t>
      </w:r>
    </w:p>
    <w:p w:rsidR="007507F7" w:rsidRDefault="005D6C8D">
      <w:pPr>
        <w:spacing w:after="29" w:line="259" w:lineRule="auto"/>
        <w:ind w:left="10" w:right="2" w:hanging="10"/>
        <w:jc w:val="center"/>
      </w:pPr>
      <w:bookmarkStart w:id="0" w:name="_GoBack"/>
      <w:r>
        <w:rPr>
          <w:b/>
          <w:sz w:val="28"/>
        </w:rPr>
        <w:t>СЬОМЕ СКЛИКАННЯ</w:t>
      </w:r>
      <w:r>
        <w:rPr>
          <w:sz w:val="28"/>
        </w:rPr>
        <w:t xml:space="preserve"> </w:t>
      </w:r>
    </w:p>
    <w:p w:rsidR="007507F7" w:rsidRDefault="005D6C8D">
      <w:pPr>
        <w:spacing w:after="29" w:line="259" w:lineRule="auto"/>
        <w:ind w:left="10" w:right="2" w:hanging="10"/>
        <w:jc w:val="center"/>
      </w:pPr>
      <w:r>
        <w:rPr>
          <w:b/>
          <w:sz w:val="28"/>
        </w:rPr>
        <w:t>ЧЕТВЕРТА СЕСІЯ</w:t>
      </w:r>
      <w:r>
        <w:rPr>
          <w:sz w:val="28"/>
        </w:rPr>
        <w:t xml:space="preserve"> </w:t>
      </w:r>
    </w:p>
    <w:p w:rsidR="007507F7" w:rsidRDefault="005D6C8D">
      <w:pPr>
        <w:spacing w:after="77" w:line="259" w:lineRule="auto"/>
        <w:ind w:left="10" w:hanging="10"/>
        <w:jc w:val="center"/>
      </w:pPr>
      <w:r>
        <w:rPr>
          <w:b/>
          <w:sz w:val="28"/>
        </w:rPr>
        <w:t>П’ЯТЕ ПЛЕНАРНЕ ЗАСІДАННЯ</w:t>
      </w:r>
      <w:bookmarkEnd w:id="0"/>
      <w:r>
        <w:rPr>
          <w:sz w:val="28"/>
        </w:rPr>
        <w:t xml:space="preserve"> </w:t>
      </w:r>
    </w:p>
    <w:p w:rsidR="007507F7" w:rsidRDefault="005D6C8D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>
        <w:rPr>
          <w:b w:val="0"/>
        </w:rPr>
        <w:t xml:space="preserve"> </w:t>
      </w:r>
    </w:p>
    <w:p w:rsidR="007507F7" w:rsidRDefault="005D6C8D">
      <w:pPr>
        <w:spacing w:after="0" w:line="259" w:lineRule="auto"/>
        <w:ind w:firstLine="0"/>
        <w:jc w:val="left"/>
      </w:pPr>
      <w:r>
        <w:rPr>
          <w:sz w:val="28"/>
        </w:rPr>
        <w:t xml:space="preserve"> </w:t>
      </w:r>
    </w:p>
    <w:p w:rsidR="007507F7" w:rsidRDefault="005D6C8D">
      <w:pPr>
        <w:ind w:left="-15" w:firstLine="0"/>
      </w:pPr>
      <w:r>
        <w:t xml:space="preserve">          31.03.2017                                     м. </w:t>
      </w:r>
      <w:proofErr w:type="spellStart"/>
      <w:r>
        <w:t>Глухів</w:t>
      </w:r>
      <w:proofErr w:type="spellEnd"/>
      <w:r>
        <w:t xml:space="preserve">                                     № 219 </w:t>
      </w:r>
    </w:p>
    <w:p w:rsidR="007507F7" w:rsidRDefault="005D6C8D">
      <w:pPr>
        <w:spacing w:after="7" w:line="259" w:lineRule="auto"/>
        <w:ind w:firstLine="0"/>
        <w:jc w:val="left"/>
      </w:pPr>
      <w:r>
        <w:rPr>
          <w:b/>
          <w:sz w:val="28"/>
        </w:rPr>
        <w:t xml:space="preserve"> </w:t>
      </w:r>
    </w:p>
    <w:p w:rsidR="007507F7" w:rsidRDefault="005D6C8D">
      <w:pPr>
        <w:spacing w:after="0" w:line="270" w:lineRule="auto"/>
        <w:ind w:left="-5" w:right="3980" w:hanging="10"/>
        <w:jc w:val="left"/>
      </w:pPr>
      <w:r>
        <w:rPr>
          <w:b/>
        </w:rPr>
        <w:t xml:space="preserve">Про </w:t>
      </w:r>
      <w:proofErr w:type="spellStart"/>
      <w:proofErr w:type="gramStart"/>
      <w:r>
        <w:rPr>
          <w:b/>
        </w:rPr>
        <w:t>внесення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змін</w:t>
      </w:r>
      <w:proofErr w:type="spellEnd"/>
      <w:proofErr w:type="gramEnd"/>
      <w:r>
        <w:rPr>
          <w:b/>
        </w:rPr>
        <w:t xml:space="preserve"> до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соціального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окремих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категорій</w:t>
      </w:r>
      <w:proofErr w:type="spellEnd"/>
      <w:r>
        <w:rPr>
          <w:b/>
        </w:rPr>
        <w:t xml:space="preserve">  </w:t>
      </w:r>
    </w:p>
    <w:p w:rsidR="007507F7" w:rsidRDefault="005D6C8D">
      <w:pPr>
        <w:spacing w:after="0" w:line="270" w:lineRule="auto"/>
        <w:ind w:left="-5" w:hanging="10"/>
        <w:jc w:val="left"/>
      </w:pPr>
      <w:proofErr w:type="spellStart"/>
      <w:proofErr w:type="gramStart"/>
      <w:r>
        <w:rPr>
          <w:b/>
        </w:rPr>
        <w:t>населення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міста</w:t>
      </w:r>
      <w:proofErr w:type="spellEnd"/>
      <w:proofErr w:type="gramEnd"/>
      <w:r>
        <w:rPr>
          <w:b/>
        </w:rPr>
        <w:t xml:space="preserve"> Глухова на 2014-2018 роки </w:t>
      </w:r>
    </w:p>
    <w:p w:rsidR="007507F7" w:rsidRDefault="005D6C8D">
      <w:pPr>
        <w:spacing w:after="21" w:line="259" w:lineRule="auto"/>
        <w:ind w:firstLine="0"/>
        <w:jc w:val="left"/>
      </w:pPr>
      <w:r>
        <w:t xml:space="preserve"> </w:t>
      </w:r>
    </w:p>
    <w:p w:rsidR="007507F7" w:rsidRDefault="005D6C8D">
      <w:pPr>
        <w:ind w:left="-15" w:firstLine="0"/>
      </w:pPr>
      <w:r>
        <w:t xml:space="preserve">          </w:t>
      </w:r>
      <w:proofErr w:type="spellStart"/>
      <w:proofErr w:type="gramStart"/>
      <w:r>
        <w:t>Розглянувши</w:t>
      </w:r>
      <w:proofErr w:type="spellEnd"/>
      <w:r>
        <w:t xml:space="preserve">  </w:t>
      </w:r>
      <w:proofErr w:type="spellStart"/>
      <w:r>
        <w:t>подання</w:t>
      </w:r>
      <w:proofErr w:type="spellEnd"/>
      <w:proofErr w:type="gramEnd"/>
      <w:r>
        <w:t xml:space="preserve"> 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фракції</w:t>
      </w:r>
      <w:proofErr w:type="spellEnd"/>
      <w:r>
        <w:t xml:space="preserve"> «Воля народу» у </w:t>
      </w:r>
      <w:proofErr w:type="spellStart"/>
      <w:r>
        <w:t>Глухівській</w:t>
      </w:r>
      <w:proofErr w:type="spellEnd"/>
      <w:r>
        <w:t xml:space="preserve"> </w:t>
      </w:r>
      <w:proofErr w:type="spellStart"/>
      <w:r>
        <w:t>міській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 xml:space="preserve">  Бурлаки Ю.О.,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25, пунктом 22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26, </w:t>
      </w:r>
      <w:proofErr w:type="spellStart"/>
      <w:r>
        <w:t>статтею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міська</w:t>
      </w:r>
      <w:proofErr w:type="spellEnd"/>
      <w:r>
        <w:rPr>
          <w:b/>
        </w:rPr>
        <w:t xml:space="preserve"> рада ВИРІШИЛА</w:t>
      </w:r>
      <w:r>
        <w:t xml:space="preserve">:  </w:t>
      </w:r>
    </w:p>
    <w:p w:rsidR="007507F7" w:rsidRDefault="005D6C8D">
      <w:pPr>
        <w:numPr>
          <w:ilvl w:val="0"/>
          <w:numId w:val="1"/>
        </w:numPr>
      </w:pPr>
      <w:r>
        <w:t xml:space="preserve">Внести </w:t>
      </w:r>
      <w:proofErr w:type="spellStart"/>
      <w:r>
        <w:t>зміни</w:t>
      </w:r>
      <w:proofErr w:type="spellEnd"/>
      <w:r>
        <w:t xml:space="preserve"> д</w:t>
      </w:r>
      <w:r>
        <w:t xml:space="preserve">о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proofErr w:type="gramStart"/>
      <w:r>
        <w:t>категорій</w:t>
      </w:r>
      <w:proofErr w:type="spellEnd"/>
      <w:r>
        <w:t xml:space="preserve">  </w:t>
      </w:r>
      <w:proofErr w:type="spellStart"/>
      <w:r>
        <w:t>населення</w:t>
      </w:r>
      <w:proofErr w:type="spellEnd"/>
      <w:proofErr w:type="gramEnd"/>
      <w:r>
        <w:t xml:space="preserve"> </w:t>
      </w:r>
      <w:proofErr w:type="spellStart"/>
      <w:r>
        <w:t>міста</w:t>
      </w:r>
      <w:proofErr w:type="spellEnd"/>
      <w:r>
        <w:t xml:space="preserve"> Глухова на 2014-2018 роки, </w:t>
      </w:r>
      <w:proofErr w:type="spellStart"/>
      <w:r>
        <w:t>затвердженої</w:t>
      </w:r>
      <w:proofErr w:type="spellEnd"/>
      <w:r>
        <w:t xml:space="preserve"> 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№ 194 </w:t>
      </w:r>
      <w:proofErr w:type="spellStart"/>
      <w:r>
        <w:t>від</w:t>
      </w:r>
      <w:proofErr w:type="spellEnd"/>
      <w:r>
        <w:t xml:space="preserve"> 21.02.2017 року «Про </w:t>
      </w:r>
      <w:proofErr w:type="spellStart"/>
      <w:r>
        <w:t>Програму</w:t>
      </w:r>
      <w:proofErr w:type="spellEnd"/>
      <w:r>
        <w:t xml:space="preserve"> 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Глухова на 2014-2018 роки в </w:t>
      </w:r>
      <w:proofErr w:type="spellStart"/>
      <w:r>
        <w:t>нов</w:t>
      </w:r>
      <w:r>
        <w:t>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», а </w:t>
      </w:r>
      <w:proofErr w:type="spellStart"/>
      <w:r>
        <w:t>саме</w:t>
      </w:r>
      <w:proofErr w:type="spellEnd"/>
      <w:r>
        <w:t xml:space="preserve">: </w:t>
      </w:r>
    </w:p>
    <w:p w:rsidR="007507F7" w:rsidRDefault="005D6C8D">
      <w:pPr>
        <w:numPr>
          <w:ilvl w:val="1"/>
          <w:numId w:val="1"/>
        </w:numPr>
      </w:pPr>
      <w:r>
        <w:t xml:space="preserve">У </w:t>
      </w:r>
      <w:proofErr w:type="spellStart"/>
      <w:r>
        <w:t>пункті</w:t>
      </w:r>
      <w:proofErr w:type="spellEnd"/>
      <w:r>
        <w:t xml:space="preserve"> 9 паспорту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роками </w:t>
      </w:r>
      <w:proofErr w:type="spellStart"/>
      <w:r>
        <w:t>збільшити</w:t>
      </w:r>
      <w:proofErr w:type="spellEnd"/>
      <w:r>
        <w:t xml:space="preserve"> з 2661,</w:t>
      </w:r>
      <w:proofErr w:type="gramStart"/>
      <w:r>
        <w:t>3  тис</w:t>
      </w:r>
      <w:proofErr w:type="gramEnd"/>
      <w:r>
        <w:t xml:space="preserve"> грн. до 2699,9 тис. грн., в тому </w:t>
      </w:r>
      <w:proofErr w:type="spellStart"/>
      <w:r>
        <w:t>числі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 </w:t>
      </w:r>
      <w:proofErr w:type="spellStart"/>
      <w:r>
        <w:t>збільшити</w:t>
      </w:r>
      <w:proofErr w:type="spellEnd"/>
      <w:r>
        <w:t xml:space="preserve"> з 911,9 тис. грн.  </w:t>
      </w:r>
      <w:proofErr w:type="gramStart"/>
      <w:r>
        <w:t>до  928</w:t>
      </w:r>
      <w:proofErr w:type="gramEnd"/>
      <w:r>
        <w:t xml:space="preserve">,7 тис. грн., в 2018 </w:t>
      </w:r>
      <w:proofErr w:type="spellStart"/>
      <w:r>
        <w:t>році</w:t>
      </w:r>
      <w:proofErr w:type="spellEnd"/>
      <w:r>
        <w:t xml:space="preserve"> – 1017,1 тис. грн. до 1038,</w:t>
      </w:r>
      <w:r>
        <w:t xml:space="preserve">9 тис. грн. </w:t>
      </w:r>
    </w:p>
    <w:p w:rsidR="007507F7" w:rsidRDefault="005D6C8D">
      <w:pPr>
        <w:numPr>
          <w:ilvl w:val="1"/>
          <w:numId w:val="1"/>
        </w:numPr>
      </w:pPr>
      <w:r>
        <w:t xml:space="preserve">У </w:t>
      </w:r>
      <w:proofErr w:type="spellStart"/>
      <w:r>
        <w:t>пункті</w:t>
      </w:r>
      <w:proofErr w:type="spellEnd"/>
      <w:r>
        <w:t xml:space="preserve"> 6 «Напрямки </w:t>
      </w:r>
      <w:proofErr w:type="spellStart"/>
      <w:r>
        <w:t>діяльності</w:t>
      </w:r>
      <w:proofErr w:type="spellEnd"/>
      <w:r>
        <w:t xml:space="preserve">, заходи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очікуваний</w:t>
      </w:r>
      <w:proofErr w:type="spellEnd"/>
      <w:r>
        <w:t xml:space="preserve"> </w:t>
      </w:r>
      <w:proofErr w:type="gramStart"/>
      <w:r>
        <w:t>результат»  у</w:t>
      </w:r>
      <w:proofErr w:type="gramEnd"/>
      <w:r>
        <w:t xml:space="preserve"> </w:t>
      </w:r>
      <w:proofErr w:type="spellStart"/>
      <w:r>
        <w:t>заході</w:t>
      </w:r>
      <w:proofErr w:type="spellEnd"/>
      <w:r>
        <w:t xml:space="preserve"> «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в </w:t>
      </w:r>
      <w:proofErr w:type="spellStart"/>
      <w:r>
        <w:t>підтримці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 …» 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збільшити</w:t>
      </w:r>
      <w:proofErr w:type="spellEnd"/>
      <w:r>
        <w:t xml:space="preserve"> у </w:t>
      </w:r>
      <w:proofErr w:type="spellStart"/>
      <w:r>
        <w:t>графі</w:t>
      </w:r>
      <w:proofErr w:type="spellEnd"/>
      <w:r>
        <w:t xml:space="preserve"> </w:t>
      </w:r>
      <w:proofErr w:type="spellStart"/>
      <w:proofErr w:type="gramStart"/>
      <w:r>
        <w:t>всього</w:t>
      </w:r>
      <w:proofErr w:type="spellEnd"/>
      <w:r>
        <w:t xml:space="preserve">  з</w:t>
      </w:r>
      <w:proofErr w:type="gramEnd"/>
      <w:r>
        <w:t xml:space="preserve"> 242,5 тис. грн. до 281,1 тис. грн.,  у </w:t>
      </w:r>
      <w:proofErr w:type="spellStart"/>
      <w:r>
        <w:t>графі</w:t>
      </w:r>
      <w:proofErr w:type="spellEnd"/>
      <w:r>
        <w:t xml:space="preserve"> на 2017</w:t>
      </w:r>
      <w:r>
        <w:t xml:space="preserve"> </w:t>
      </w:r>
      <w:proofErr w:type="spellStart"/>
      <w:r>
        <w:t>рік</w:t>
      </w:r>
      <w:proofErr w:type="spellEnd"/>
      <w:r>
        <w:t xml:space="preserve"> -  з 57,5 тис. грн. до 74,3 тис. грн., у </w:t>
      </w:r>
      <w:proofErr w:type="spellStart"/>
      <w:r>
        <w:t>графі</w:t>
      </w:r>
      <w:proofErr w:type="spellEnd"/>
      <w:r>
        <w:t xml:space="preserve"> на 2018 </w:t>
      </w:r>
      <w:proofErr w:type="spellStart"/>
      <w:r>
        <w:t>рік</w:t>
      </w:r>
      <w:proofErr w:type="spellEnd"/>
      <w:r>
        <w:t xml:space="preserve"> -  з 64,0 тис. грн. до 85,8 тис. грн.  </w:t>
      </w:r>
      <w:proofErr w:type="gramStart"/>
      <w:r>
        <w:t>У рядку</w:t>
      </w:r>
      <w:proofErr w:type="gramEnd"/>
      <w:r>
        <w:t xml:space="preserve"> «Разом» </w:t>
      </w:r>
      <w:proofErr w:type="spellStart"/>
      <w:r>
        <w:t>збільшити</w:t>
      </w:r>
      <w:proofErr w:type="spellEnd"/>
      <w:r>
        <w:t xml:space="preserve">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всього</w:t>
      </w:r>
      <w:proofErr w:type="spellEnd"/>
      <w:r>
        <w:t xml:space="preserve"> з 2661,3 тис. грн. до 2699,9 тис. грн., У графах 2017 року </w:t>
      </w:r>
      <w:proofErr w:type="spellStart"/>
      <w:r>
        <w:t>цього</w:t>
      </w:r>
      <w:proofErr w:type="spellEnd"/>
      <w:r>
        <w:t xml:space="preserve"> ж рядка – з 911,9 тис. грн. до 928,</w:t>
      </w:r>
      <w:r>
        <w:t xml:space="preserve">7 тис. грн., 2018 року – з 1017,1тис. грн. до 1038,9 тис. грн. </w:t>
      </w:r>
    </w:p>
    <w:p w:rsidR="007507F7" w:rsidRDefault="005D6C8D">
      <w:pPr>
        <w:numPr>
          <w:ilvl w:val="0"/>
          <w:numId w:val="1"/>
        </w:numPr>
      </w:pPr>
      <w:r>
        <w:t xml:space="preserve">Внести </w:t>
      </w:r>
      <w:proofErr w:type="spellStart"/>
      <w:r>
        <w:t>зміни</w:t>
      </w:r>
      <w:proofErr w:type="spellEnd"/>
      <w:r>
        <w:t xml:space="preserve"> у порядок </w:t>
      </w:r>
      <w:proofErr w:type="spellStart"/>
      <w:proofErr w:type="gramStart"/>
      <w:r>
        <w:t>надання</w:t>
      </w:r>
      <w:proofErr w:type="spellEnd"/>
      <w:r>
        <w:t xml:space="preserve">  та</w:t>
      </w:r>
      <w:proofErr w:type="gram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у </w:t>
      </w:r>
      <w:proofErr w:type="spellStart"/>
      <w:r>
        <w:t>бюджеті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на </w:t>
      </w:r>
      <w:proofErr w:type="spellStart"/>
      <w:r>
        <w:t>фінансову</w:t>
      </w:r>
      <w:proofErr w:type="spellEnd"/>
      <w:r>
        <w:t xml:space="preserve">  </w:t>
      </w:r>
      <w:proofErr w:type="spellStart"/>
      <w:r>
        <w:t>підтримку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на 20152018 роки, </w:t>
      </w:r>
      <w:proofErr w:type="spellStart"/>
      <w:r>
        <w:t>затверджений</w:t>
      </w:r>
      <w:proofErr w:type="spellEnd"/>
      <w:r>
        <w:t xml:space="preserve"> 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</w:t>
      </w:r>
      <w:r>
        <w:t xml:space="preserve">ди № 194 </w:t>
      </w:r>
      <w:proofErr w:type="spellStart"/>
      <w:r>
        <w:t>від</w:t>
      </w:r>
      <w:proofErr w:type="spellEnd"/>
      <w:r>
        <w:t xml:space="preserve"> 21.02.2017 року «Про </w:t>
      </w:r>
      <w:proofErr w:type="spellStart"/>
      <w:r>
        <w:t>Програму</w:t>
      </w:r>
      <w:proofErr w:type="spellEnd"/>
      <w:r>
        <w:t xml:space="preserve"> 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Глухова на 2014-2018 роки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», а </w:t>
      </w:r>
      <w:proofErr w:type="spellStart"/>
      <w:r>
        <w:t>саме</w:t>
      </w:r>
      <w:proofErr w:type="spellEnd"/>
      <w:r>
        <w:t xml:space="preserve">: </w:t>
      </w:r>
    </w:p>
    <w:p w:rsidR="007507F7" w:rsidRDefault="005D6C8D">
      <w:pPr>
        <w:numPr>
          <w:ilvl w:val="1"/>
          <w:numId w:val="1"/>
        </w:numPr>
      </w:pPr>
      <w:r>
        <w:lastRenderedPageBreak/>
        <w:t xml:space="preserve">У </w:t>
      </w:r>
      <w:proofErr w:type="spellStart"/>
      <w:r>
        <w:t>додатку</w:t>
      </w:r>
      <w:proofErr w:type="spellEnd"/>
      <w:r>
        <w:t xml:space="preserve"> 3 до Порядку пункт 1 та </w:t>
      </w:r>
      <w:proofErr w:type="spellStart"/>
      <w:r>
        <w:t>підпункт</w:t>
      </w:r>
      <w:proofErr w:type="spellEnd"/>
      <w:r>
        <w:t xml:space="preserve"> 1.5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7507F7" w:rsidRDefault="005D6C8D">
      <w:pPr>
        <w:numPr>
          <w:ilvl w:val="0"/>
          <w:numId w:val="1"/>
        </w:numPr>
      </w:pPr>
      <w:r>
        <w:t xml:space="preserve">Контроль за </w:t>
      </w:r>
      <w:proofErr w:type="spellStart"/>
      <w:r>
        <w:t>вико</w:t>
      </w:r>
      <w:r>
        <w:t>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proofErr w:type="gramStart"/>
      <w:r>
        <w:t>охорони</w:t>
      </w:r>
      <w:proofErr w:type="spellEnd"/>
      <w:r>
        <w:t xml:space="preserve">  </w:t>
      </w:r>
      <w:proofErr w:type="spellStart"/>
      <w:r>
        <w:t>здоров’я</w:t>
      </w:r>
      <w:proofErr w:type="spellEnd"/>
      <w:proofErr w:type="gramEnd"/>
      <w:r>
        <w:t xml:space="preserve">, материнства і </w:t>
      </w:r>
      <w:proofErr w:type="spellStart"/>
      <w:r>
        <w:t>дитинства</w:t>
      </w:r>
      <w:proofErr w:type="spellEnd"/>
      <w:r>
        <w:t xml:space="preserve">,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фізичної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і спорту, </w:t>
      </w:r>
      <w:proofErr w:type="spellStart"/>
      <w:r>
        <w:t>сім’ї</w:t>
      </w:r>
      <w:proofErr w:type="spellEnd"/>
      <w:r>
        <w:t xml:space="preserve"> і </w:t>
      </w:r>
      <w:proofErr w:type="spellStart"/>
      <w:r>
        <w:t>молоді</w:t>
      </w:r>
      <w:proofErr w:type="spellEnd"/>
      <w:r>
        <w:t xml:space="preserve"> та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(голова – </w:t>
      </w:r>
      <w:proofErr w:type="spellStart"/>
      <w:r>
        <w:t>Громак</w:t>
      </w:r>
      <w:proofErr w:type="spellEnd"/>
      <w:r>
        <w:t xml:space="preserve"> Л.А.).  </w:t>
      </w:r>
    </w:p>
    <w:p w:rsidR="007507F7" w:rsidRDefault="005D6C8D">
      <w:pPr>
        <w:spacing w:after="276" w:line="259" w:lineRule="auto"/>
        <w:ind w:firstLine="0"/>
        <w:jc w:val="left"/>
      </w:pPr>
      <w:r>
        <w:rPr>
          <w:b/>
        </w:rPr>
        <w:t xml:space="preserve"> </w:t>
      </w:r>
    </w:p>
    <w:p w:rsidR="007507F7" w:rsidRDefault="005D6C8D">
      <w:pPr>
        <w:spacing w:after="0" w:line="270" w:lineRule="auto"/>
        <w:ind w:left="-5" w:hanging="1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</w:t>
      </w:r>
      <w:r>
        <w:rPr>
          <w:b/>
        </w:rPr>
        <w:t xml:space="preserve">                                        М. Терещенко </w:t>
      </w:r>
      <w:r>
        <w:t xml:space="preserve">                                                     </w:t>
      </w:r>
      <w:proofErr w:type="spellStart"/>
      <w:r>
        <w:t>Додаток</w:t>
      </w:r>
      <w:proofErr w:type="spellEnd"/>
      <w:r>
        <w:t xml:space="preserve"> </w:t>
      </w:r>
    </w:p>
    <w:p w:rsidR="007507F7" w:rsidRDefault="005D6C8D">
      <w:pPr>
        <w:spacing w:after="44" w:line="245" w:lineRule="auto"/>
        <w:ind w:left="554" w:right="492" w:firstLine="211"/>
        <w:jc w:val="left"/>
      </w:pPr>
      <w:r>
        <w:t xml:space="preserve">                                                                              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</w:t>
      </w:r>
      <w:r>
        <w:t xml:space="preserve">                                                 </w:t>
      </w:r>
      <w:proofErr w:type="spellStart"/>
      <w:r>
        <w:t>від</w:t>
      </w:r>
      <w:proofErr w:type="spellEnd"/>
      <w:r>
        <w:t xml:space="preserve"> 31.03.2017 р. № 219  </w:t>
      </w:r>
    </w:p>
    <w:p w:rsidR="007507F7" w:rsidRDefault="005D6C8D">
      <w:pPr>
        <w:spacing w:after="0" w:line="258" w:lineRule="auto"/>
        <w:ind w:left="420" w:right="431" w:firstLine="0"/>
        <w:jc w:val="center"/>
      </w:pPr>
      <w:proofErr w:type="spellStart"/>
      <w:r>
        <w:t>Розрахунок</w:t>
      </w:r>
      <w:proofErr w:type="spellEnd"/>
      <w:r>
        <w:t xml:space="preserve"> до Порядку </w:t>
      </w:r>
      <w:proofErr w:type="spellStart"/>
      <w:r>
        <w:t>надання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у </w:t>
      </w:r>
      <w:proofErr w:type="spellStart"/>
      <w:r>
        <w:t>бюджеті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на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</w:t>
      </w:r>
    </w:p>
    <w:p w:rsidR="007507F7" w:rsidRDefault="005D6C8D">
      <w:pPr>
        <w:spacing w:after="0" w:line="259" w:lineRule="auto"/>
        <w:ind w:left="65" w:firstLine="0"/>
        <w:jc w:val="center"/>
      </w:pP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86"/>
        <w:gridCol w:w="3180"/>
        <w:gridCol w:w="1515"/>
        <w:gridCol w:w="1003"/>
        <w:gridCol w:w="821"/>
        <w:gridCol w:w="823"/>
        <w:gridCol w:w="821"/>
        <w:gridCol w:w="824"/>
      </w:tblGrid>
      <w:tr w:rsidR="007507F7">
        <w:trPr>
          <w:trHeight w:val="607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left="70" w:firstLine="0"/>
              <w:jc w:val="left"/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3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Код та </w:t>
            </w:r>
            <w:proofErr w:type="spellStart"/>
            <w:r>
              <w:rPr>
                <w:sz w:val="24"/>
              </w:rPr>
              <w:t>назва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функціональної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класифікації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видатків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38" w:lineRule="auto"/>
              <w:ind w:firstLine="0"/>
              <w:jc w:val="center"/>
            </w:pPr>
            <w:r>
              <w:rPr>
                <w:sz w:val="24"/>
              </w:rPr>
              <w:t xml:space="preserve">Код </w:t>
            </w:r>
            <w:proofErr w:type="spellStart"/>
            <w:r>
              <w:rPr>
                <w:sz w:val="24"/>
              </w:rPr>
              <w:t>економічної</w:t>
            </w:r>
            <w:proofErr w:type="spellEnd"/>
            <w:r>
              <w:rPr>
                <w:sz w:val="24"/>
              </w:rPr>
              <w:t xml:space="preserve"> </w:t>
            </w:r>
          </w:p>
          <w:p w:rsidR="007507F7" w:rsidRDefault="005D6C8D">
            <w:pPr>
              <w:spacing w:after="0" w:line="259" w:lineRule="auto"/>
              <w:ind w:firstLine="0"/>
              <w:jc w:val="center"/>
            </w:pPr>
            <w:proofErr w:type="spellStart"/>
            <w:r>
              <w:rPr>
                <w:sz w:val="24"/>
              </w:rPr>
              <w:t>класифікації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видатків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07F7" w:rsidRDefault="007507F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4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7F7" w:rsidRDefault="005D6C8D">
            <w:pPr>
              <w:spacing w:after="0" w:line="259" w:lineRule="auto"/>
              <w:ind w:right="243" w:firstLine="0"/>
              <w:jc w:val="center"/>
            </w:pPr>
            <w:r>
              <w:rPr>
                <w:sz w:val="24"/>
              </w:rPr>
              <w:t xml:space="preserve">Сума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7F7" w:rsidRDefault="007507F7">
            <w:pPr>
              <w:spacing w:after="160" w:line="259" w:lineRule="auto"/>
              <w:ind w:firstLine="0"/>
              <w:jc w:val="left"/>
            </w:pPr>
          </w:p>
        </w:tc>
      </w:tr>
      <w:tr w:rsidR="007507F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7507F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7507F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7507F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Всього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line="259" w:lineRule="auto"/>
              <w:ind w:left="62" w:firstLine="0"/>
              <w:jc w:val="left"/>
            </w:pPr>
            <w:r>
              <w:rPr>
                <w:sz w:val="24"/>
              </w:rPr>
              <w:t xml:space="preserve">2015 </w:t>
            </w:r>
          </w:p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р.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line="259" w:lineRule="auto"/>
              <w:ind w:left="62" w:firstLine="0"/>
              <w:jc w:val="left"/>
            </w:pPr>
            <w:r>
              <w:rPr>
                <w:sz w:val="24"/>
              </w:rPr>
              <w:t xml:space="preserve">2016 </w:t>
            </w:r>
          </w:p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р.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line="259" w:lineRule="auto"/>
              <w:ind w:left="62" w:firstLine="0"/>
              <w:jc w:val="left"/>
            </w:pPr>
            <w:r>
              <w:rPr>
                <w:sz w:val="24"/>
              </w:rPr>
              <w:t xml:space="preserve">2017 </w:t>
            </w:r>
          </w:p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р.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line="259" w:lineRule="auto"/>
              <w:ind w:left="62" w:firstLine="0"/>
              <w:jc w:val="left"/>
            </w:pPr>
            <w:r>
              <w:rPr>
                <w:sz w:val="24"/>
              </w:rPr>
              <w:t xml:space="preserve">2018 </w:t>
            </w:r>
          </w:p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р. </w:t>
            </w:r>
          </w:p>
        </w:tc>
      </w:tr>
      <w:tr w:rsidR="007507F7">
        <w:trPr>
          <w:trHeight w:val="16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46" w:line="238" w:lineRule="auto"/>
              <w:ind w:right="59" w:firstLine="0"/>
            </w:pPr>
            <w:proofErr w:type="gramStart"/>
            <w:r>
              <w:rPr>
                <w:sz w:val="24"/>
              </w:rPr>
              <w:t>1513202  «</w:t>
            </w:r>
            <w:proofErr w:type="spellStart"/>
            <w:proofErr w:type="gramEnd"/>
            <w:r>
              <w:rPr>
                <w:sz w:val="24"/>
              </w:rPr>
              <w:t>Надання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фінансової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підтримки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громадським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організаціям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інвалідів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ветеранів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діяльність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має</w:t>
            </w:r>
            <w:proofErr w:type="spellEnd"/>
            <w:r>
              <w:rPr>
                <w:sz w:val="24"/>
              </w:rPr>
              <w:t xml:space="preserve"> </w:t>
            </w:r>
          </w:p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соціальну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спрямованість</w:t>
            </w:r>
            <w:proofErr w:type="spellEnd"/>
            <w:r>
              <w:rPr>
                <w:sz w:val="24"/>
              </w:rPr>
              <w:t xml:space="preserve">»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 xml:space="preserve">2600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 xml:space="preserve">217,6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39,5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51,0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66,8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60,3 </w:t>
            </w:r>
          </w:p>
        </w:tc>
      </w:tr>
      <w:tr w:rsidR="007507F7">
        <w:trPr>
          <w:trHeight w:val="139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left="34" w:firstLine="0"/>
              <w:jc w:val="left"/>
            </w:pPr>
            <w:r>
              <w:rPr>
                <w:sz w:val="24"/>
              </w:rPr>
              <w:t xml:space="preserve">1.5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46" w:line="238" w:lineRule="auto"/>
              <w:ind w:right="57" w:firstLine="0"/>
            </w:pPr>
            <w:proofErr w:type="spellStart"/>
            <w:r>
              <w:rPr>
                <w:sz w:val="24"/>
              </w:rPr>
              <w:t>Громадська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Глухівська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організація</w:t>
            </w:r>
            <w:proofErr w:type="spellEnd"/>
            <w:r>
              <w:rPr>
                <w:sz w:val="24"/>
              </w:rPr>
              <w:t xml:space="preserve"> «Град» </w:t>
            </w:r>
            <w:proofErr w:type="spellStart"/>
            <w:r>
              <w:rPr>
                <w:sz w:val="24"/>
              </w:rPr>
              <w:t>Української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Спілки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ветеранів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Афганістану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 xml:space="preserve">2610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 xml:space="preserve">77,6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16,5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17,5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21,8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21,8 </w:t>
            </w:r>
          </w:p>
        </w:tc>
      </w:tr>
      <w:tr w:rsidR="007507F7">
        <w:trPr>
          <w:trHeight w:val="56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Предмети,матеріали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обладнання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інвентар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1,2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</w:tr>
      <w:tr w:rsidR="007507F7">
        <w:trPr>
          <w:trHeight w:val="5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tabs>
                <w:tab w:val="center" w:pos="1583"/>
                <w:tab w:val="right" w:pos="3024"/>
              </w:tabs>
              <w:spacing w:after="28" w:line="259" w:lineRule="auto"/>
              <w:ind w:firstLine="0"/>
              <w:jc w:val="left"/>
            </w:pPr>
            <w:r>
              <w:rPr>
                <w:sz w:val="24"/>
              </w:rPr>
              <w:t xml:space="preserve">Оплата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послуг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крім</w:t>
            </w:r>
            <w:proofErr w:type="spellEnd"/>
            <w:r>
              <w:rPr>
                <w:sz w:val="24"/>
              </w:rPr>
              <w:t xml:space="preserve"> </w:t>
            </w:r>
          </w:p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комунальних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2,2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2,2 </w:t>
            </w:r>
          </w:p>
        </w:tc>
      </w:tr>
      <w:tr w:rsidR="007507F7">
        <w:trPr>
          <w:trHeight w:val="28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Оплата </w:t>
            </w:r>
            <w:proofErr w:type="spellStart"/>
            <w:r>
              <w:rPr>
                <w:sz w:val="24"/>
              </w:rPr>
              <w:t>теплопостачання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10,0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10,8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12,1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12,1 </w:t>
            </w:r>
          </w:p>
        </w:tc>
      </w:tr>
      <w:tr w:rsidR="007507F7">
        <w:trPr>
          <w:trHeight w:val="5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tabs>
                <w:tab w:val="center" w:pos="1267"/>
                <w:tab w:val="right" w:pos="3024"/>
              </w:tabs>
              <w:spacing w:after="26" w:line="259" w:lineRule="auto"/>
              <w:ind w:firstLine="0"/>
              <w:jc w:val="left"/>
            </w:pPr>
            <w:r>
              <w:rPr>
                <w:sz w:val="24"/>
              </w:rPr>
              <w:t xml:space="preserve">Оплата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електричну</w:t>
            </w:r>
            <w:proofErr w:type="spellEnd"/>
            <w:r>
              <w:rPr>
                <w:sz w:val="24"/>
              </w:rPr>
              <w:t xml:space="preserve"> </w:t>
            </w:r>
          </w:p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енергію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1,2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1,2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</w:tr>
      <w:tr w:rsidR="007507F7">
        <w:trPr>
          <w:trHeight w:val="28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Інші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виплати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3,3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3,3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57" w:firstLine="0"/>
              <w:jc w:val="center"/>
            </w:pPr>
            <w:r>
              <w:rPr>
                <w:sz w:val="24"/>
              </w:rPr>
              <w:t xml:space="preserve">4,6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7F7" w:rsidRDefault="005D6C8D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4,6 </w:t>
            </w:r>
          </w:p>
        </w:tc>
      </w:tr>
    </w:tbl>
    <w:p w:rsidR="007507F7" w:rsidRDefault="005D6C8D">
      <w:pPr>
        <w:spacing w:after="0" w:line="259" w:lineRule="auto"/>
        <w:ind w:left="65" w:firstLine="0"/>
        <w:jc w:val="center"/>
      </w:pPr>
      <w:r>
        <w:t xml:space="preserve"> </w:t>
      </w:r>
    </w:p>
    <w:p w:rsidR="007507F7" w:rsidRDefault="005D6C8D">
      <w:pPr>
        <w:spacing w:after="218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507F7" w:rsidRDefault="005D6C8D">
      <w:pPr>
        <w:spacing w:after="218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507F7" w:rsidRDefault="005D6C8D">
      <w:pPr>
        <w:spacing w:after="218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507F7" w:rsidRDefault="005D6C8D">
      <w:pPr>
        <w:spacing w:after="218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507F7" w:rsidRDefault="005D6C8D">
      <w:pPr>
        <w:spacing w:after="251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7507F7" w:rsidRDefault="005D6C8D">
      <w:pPr>
        <w:spacing w:after="220" w:line="259" w:lineRule="auto"/>
        <w:ind w:firstLine="0"/>
        <w:jc w:val="left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  <w:jc w:val="left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  <w:jc w:val="left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  <w:jc w:val="left"/>
      </w:pPr>
      <w:r>
        <w:rPr>
          <w:b/>
        </w:rPr>
        <w:t xml:space="preserve"> </w:t>
      </w:r>
    </w:p>
    <w:p w:rsidR="007507F7" w:rsidRDefault="005D6C8D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7507F7" w:rsidRDefault="005D6C8D">
      <w:pPr>
        <w:spacing w:after="221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1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1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lastRenderedPageBreak/>
        <w:t xml:space="preserve"> </w:t>
      </w:r>
    </w:p>
    <w:p w:rsidR="007507F7" w:rsidRDefault="005D6C8D">
      <w:pPr>
        <w:spacing w:after="218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220" w:line="259" w:lineRule="auto"/>
        <w:ind w:firstLine="0"/>
      </w:pPr>
      <w:r>
        <w:rPr>
          <w:b/>
        </w:rPr>
        <w:t xml:space="preserve"> </w:t>
      </w:r>
    </w:p>
    <w:p w:rsidR="007507F7" w:rsidRDefault="005D6C8D">
      <w:pPr>
        <w:spacing w:after="0" w:line="259" w:lineRule="auto"/>
        <w:ind w:firstLine="0"/>
      </w:pPr>
      <w:r>
        <w:rPr>
          <w:b/>
        </w:rPr>
        <w:t xml:space="preserve"> </w:t>
      </w:r>
    </w:p>
    <w:sectPr w:rsidR="007507F7">
      <w:pgSz w:w="11906" w:h="16838"/>
      <w:pgMar w:top="1135" w:right="847" w:bottom="148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707A5"/>
    <w:multiLevelType w:val="multilevel"/>
    <w:tmpl w:val="E8A6C82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F7"/>
    <w:rsid w:val="005D6C8D"/>
    <w:rsid w:val="0075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3CC2F-E187-467B-9A05-6481B749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9" w:lineRule="auto"/>
      <w:ind w:firstLine="556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2017-04-11T07:44:00Z</dcterms:created>
  <dcterms:modified xsi:type="dcterms:W3CDTF">2017-04-11T07:44:00Z</dcterms:modified>
</cp:coreProperties>
</file>