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93A" w:rsidRDefault="00806EF9">
      <w:pPr>
        <w:spacing w:after="21" w:line="259" w:lineRule="auto"/>
        <w:jc w:val="right"/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</w:t>
      </w:r>
      <w:r>
        <w:t xml:space="preserve">Глухівській міській раді                     </w:t>
      </w:r>
    </w:p>
    <w:p w:rsidR="000E793A" w:rsidRDefault="00806EF9">
      <w:pPr>
        <w:spacing w:after="22" w:line="259" w:lineRule="auto"/>
        <w:ind w:left="11" w:right="0" w:firstLine="0"/>
        <w:jc w:val="center"/>
      </w:pPr>
      <w:r>
        <w:t xml:space="preserve"> </w:t>
      </w:r>
    </w:p>
    <w:p w:rsidR="000E793A" w:rsidRDefault="00806EF9">
      <w:pPr>
        <w:spacing w:after="20" w:line="259" w:lineRule="auto"/>
        <w:ind w:left="673" w:right="714"/>
        <w:jc w:val="center"/>
      </w:pPr>
      <w:r>
        <w:t xml:space="preserve">Пояснювальна записка  </w:t>
      </w:r>
    </w:p>
    <w:p w:rsidR="000E793A" w:rsidRDefault="00806EF9">
      <w:pPr>
        <w:ind w:left="2221" w:right="49"/>
      </w:pPr>
      <w:r>
        <w:t xml:space="preserve">до звіту про виконання  бюджету м. Глухова за   2016  рік </w:t>
      </w:r>
    </w:p>
    <w:p w:rsidR="000E793A" w:rsidRDefault="00806EF9">
      <w:pPr>
        <w:spacing w:after="17" w:line="259" w:lineRule="auto"/>
        <w:ind w:left="11" w:right="0" w:firstLine="0"/>
        <w:jc w:val="center"/>
      </w:pPr>
      <w:r>
        <w:rPr>
          <w:color w:val="FF0000"/>
        </w:rPr>
        <w:t xml:space="preserve"> </w:t>
      </w:r>
    </w:p>
    <w:p w:rsidR="000E793A" w:rsidRDefault="00806EF9">
      <w:pPr>
        <w:ind w:left="2" w:right="49" w:firstLine="483"/>
      </w:pPr>
      <w:r>
        <w:t>Міський бюджет на 2016 рік затверджено по доходах у сумі  259184,7 тис.грн., з них загальний фонд – 252857,6 тис.грн., спеціальний фонд – 6327,1 тис.грн. По видатках - у сумі 264455,5   тис.грн., з них загальний фонд – 244134,5 тис.грн., спеціальний фонд –</w:t>
      </w:r>
      <w:r>
        <w:t xml:space="preserve"> 20321,0 тис. грн. </w:t>
      </w:r>
    </w:p>
    <w:p w:rsidR="000E793A" w:rsidRDefault="00806EF9">
      <w:pPr>
        <w:ind w:left="2" w:right="49" w:firstLine="504"/>
      </w:pPr>
      <w:r>
        <w:t>Фактично за звітний період до бюджету надійшло - 266647,8 тис.грн., з них до загального фонду – 254039,4 тис.грн. (100,5 % до затверджених обсягів на рік), спеціального фонду – 12608,4 тис.грн. (199,3 %).   З державного бюджету отримано</w:t>
      </w:r>
      <w:r>
        <w:t>: базової дотації – 5760,1 тис.грн., стабілізаційної дотації 3868,1 тис.грн. Субвенцій одержано – 190461,2 тис. грн., в т.ч. з державного бюджету – 169310,4 тис. грн. з них освітньої субвенції 19605,3 тис. грн., медичної – 22461,6 тис. грн. З обласного бюд</w:t>
      </w:r>
      <w:r>
        <w:t>жету  отримано субвенцій –11734,2 тис.грн., з них  медичної субвенції – 8142,9 тис.грн., в т.ч. за рахунок залишку коштів медичної субвенції 784,7 тис.грн., з бюджету Глухівського району  - 6578,2 тис. грн.,  Березівської сільської ради – 1900,0 тис. грн ,</w:t>
      </w:r>
      <w:r>
        <w:t xml:space="preserve"> освітньої субвенції – 1475,7 тис.грн. в т.ч. за рахунок залишку коштів освітньої  субвенції  48,9 тис.грн. Іншої субвенції надійшло  – 3054,0 тис. грн., в т.ч. з бюджету міста Шостка – 116,4  тис. грн., Ямпільська РДА – 169,0 тис. грн., Путивльська РДА – </w:t>
      </w:r>
      <w:r>
        <w:t>103,3 тис. грн., Глухівський район – 549,7 тис.грн.,  з обласного бюджету – 2115,6 тис. грн.</w:t>
      </w:r>
      <w:r>
        <w:rPr>
          <w:color w:val="FF0000"/>
        </w:rPr>
        <w:t xml:space="preserve"> </w:t>
      </w:r>
    </w:p>
    <w:p w:rsidR="000E793A" w:rsidRDefault="00806EF9">
      <w:pPr>
        <w:ind w:left="2" w:right="49" w:firstLine="478"/>
      </w:pPr>
      <w:r>
        <w:t>Власних доходів загального фонду отримано  54260,9 тис.грн., що складає 102,5 відсотка до затверджених міською радою показників на 2016 рік. Планові показники дох</w:t>
      </w:r>
      <w:r>
        <w:t xml:space="preserve">одної частини загального фонду бюджету на протязі року двічі збільшувались в результаті перевиконання більш ніж на 5 %. Загальна сума збільшення складає  9009,5 тис.грн.        </w:t>
      </w:r>
    </w:p>
    <w:p w:rsidR="000E793A" w:rsidRDefault="00806EF9">
      <w:pPr>
        <w:ind w:left="2" w:right="49" w:firstLine="708"/>
      </w:pPr>
      <w:r>
        <w:t xml:space="preserve">Податку та збору на доходи фізичних осіб, який займає 55,5% в загальній сумі  </w:t>
      </w:r>
      <w:r>
        <w:t xml:space="preserve">доходів загального фонду  надійшло 30097,6 тис. грн., або  101,4 % до річного показника. Порівняно з минулим роком надходження цього податку збільшились на 45,1% або 9351,7 тис.грн.   </w:t>
      </w:r>
    </w:p>
    <w:p w:rsidR="000E793A" w:rsidRDefault="00806EF9">
      <w:pPr>
        <w:ind w:left="2" w:right="49" w:firstLine="708"/>
      </w:pPr>
      <w:r>
        <w:t>Найбільшими платниками цього податку є ТОВ «Велетень» - 1719,6 тис.грн.</w:t>
      </w:r>
      <w:r>
        <w:t xml:space="preserve"> або  5,7  % в загальній сумі надходжень, ЦРЛ – 2576,9 тис.грн. або 8,5 % в загальній сумі надходжень, Глухівський національний педуніверситет ім.Довженка – 2721,9 тис.грн. або  9,0 % в загальній сумі надходжень, ПАТ «Сумиобленерго» - 1583,1 тис.грн. або  </w:t>
      </w:r>
      <w:r>
        <w:t xml:space="preserve">5,3 % в загальній сумі надходжень. </w:t>
      </w:r>
    </w:p>
    <w:p w:rsidR="000E793A" w:rsidRDefault="00806EF9">
      <w:pPr>
        <w:ind w:left="2" w:right="49" w:firstLine="708"/>
      </w:pPr>
      <w:r>
        <w:t>При затвердженому на рік обсязі плати за землю 6033,9 тис. грн.  надійшло 6325,3 тис. грн., 102,1% до річного показника. Питома вага цього джерела доходів в загальній сумі надходжень міського бюджету складає 11,7 %. Порі</w:t>
      </w:r>
      <w:r>
        <w:t>вняно з 2015 роком надходження збільшились на 1901,5 тис. грн. або 43 %. Збільшились  надходження від ТОВ «Велетень» на 237,1 тис. грн. або 35,5%, ПАТ «Сумиобленерго»  122,7 тис. грн. або 42,1 %, ТОВ «Лінен оф Десна» 154,9 тис. грн. або в 2 рази, ТОВ «Шали</w:t>
      </w:r>
      <w:r>
        <w:t xml:space="preserve">гинське» на 90,2 тис. грн. або 44,1%., ДТГО «Південно-західна залізниця» 350,9 тис. грн. або 2,4 рази.   </w:t>
      </w:r>
    </w:p>
    <w:p w:rsidR="000E793A" w:rsidRDefault="00806EF9">
      <w:pPr>
        <w:ind w:left="2" w:right="49" w:firstLine="708"/>
      </w:pPr>
      <w:r>
        <w:t>Податку на прибуток підприємств комунальної власності надійшло 2316,6 тис. грн., що на 1671,9 тис. грн. більше минулого року. Найбільшим платником цьо</w:t>
      </w:r>
      <w:r>
        <w:t xml:space="preserve">го податку є КП «Тепловий район». Підприємством сплачено  податку на прибуток  2181,0 тис. грн.або  94 %, ВЖРЕКП – 64,2 тис. грн., КВУВКГ – 52,0 тис. грн, МБТІ -16,5 тис. грн.  </w:t>
      </w:r>
    </w:p>
    <w:p w:rsidR="000E793A" w:rsidRDefault="00806EF9">
      <w:pPr>
        <w:ind w:left="2" w:right="49" w:firstLine="708"/>
      </w:pPr>
      <w:r>
        <w:t>План надходжень акцизного податку з реалізації суб’єктами господарювання роздр</w:t>
      </w:r>
      <w:r>
        <w:t>ібної торгівлі підакцизних товарів виконано на 106,3%.  При плані 5769,0 тис. грн. отримано 6129,7 тис. грн. Перевиконання – 360,7 тис. грн. В структурі надходжень цього податку найбільшу питому вагу (88,9 %) займає акцизний податок з реалізації нафтопроду</w:t>
      </w:r>
      <w:r>
        <w:t xml:space="preserve">ктів. Найбільші платники ТОВ </w:t>
      </w:r>
    </w:p>
    <w:p w:rsidR="000E793A" w:rsidRDefault="00806EF9">
      <w:pPr>
        <w:ind w:left="12" w:right="49"/>
      </w:pPr>
      <w:r>
        <w:t xml:space="preserve">«Глухівнафтопродукт» - 1367,2 тис. грн. або 22,3 % в загальній сумі надходжень, ТОВ «Драйв-1» - 314,6 тис. грн. або 5,1%, ТОВ АТБ Маркет – 865,7 тис. грн. або 14,1%,  ПП «Укрпалетсистем» - </w:t>
      </w:r>
      <w:r>
        <w:t>2119,6 тис. грн. або 34,6 %, ТОВ ТД «Санойл» -440,9 тис. грн. або 7,2  %.</w:t>
      </w:r>
      <w:r>
        <w:rPr>
          <w:color w:val="FF0000"/>
        </w:rPr>
        <w:t xml:space="preserve"> </w:t>
      </w:r>
    </w:p>
    <w:p w:rsidR="000E793A" w:rsidRDefault="00806EF9">
      <w:pPr>
        <w:ind w:left="2" w:right="49" w:firstLine="708"/>
      </w:pPr>
      <w:r>
        <w:t>Податку на нерухоме майно відмінне від земельної ділянки в 2016 році надійшло 595,9 тис.грн, 108,7 % до плану на рік та на 349,6 тис.грн.  більше  надходжень 2015 року.</w:t>
      </w:r>
      <w:r>
        <w:rPr>
          <w:color w:val="FF0000"/>
        </w:rPr>
        <w:t xml:space="preserve"> </w:t>
      </w:r>
      <w:r>
        <w:t>Найбільші пл</w:t>
      </w:r>
      <w:r>
        <w:t xml:space="preserve">атники цого податку ТОВ «Велетень»- 11,9 тис.грн. та  УМГ «Київтрансгаз» -2,8 тис.грн. </w:t>
      </w:r>
    </w:p>
    <w:p w:rsidR="000E793A" w:rsidRDefault="00806EF9">
      <w:pPr>
        <w:ind w:left="2" w:right="49" w:firstLine="708"/>
      </w:pPr>
      <w:r>
        <w:lastRenderedPageBreak/>
        <w:t>Єдиного податку  за 2016 рік надійшло 6588,9 тис. грн., або 102,1% до плану, перевиконання складає – 134,7 тис. грн. Порівняно з 2015 роком надходження зросли на 1767,7</w:t>
      </w:r>
      <w:r>
        <w:t xml:space="preserve"> тис. грн. або на 36,7 %. </w:t>
      </w:r>
    </w:p>
    <w:p w:rsidR="000E793A" w:rsidRDefault="00806EF9">
      <w:pPr>
        <w:ind w:left="500" w:right="49"/>
      </w:pPr>
      <w:r>
        <w:t xml:space="preserve">До спеціального фонду міського бюджету отримано : </w:t>
      </w:r>
    </w:p>
    <w:p w:rsidR="000E793A" w:rsidRDefault="00806EF9">
      <w:pPr>
        <w:numPr>
          <w:ilvl w:val="0"/>
          <w:numId w:val="1"/>
        </w:numPr>
        <w:ind w:right="49" w:hanging="360"/>
      </w:pPr>
      <w:r>
        <w:t xml:space="preserve">власних надходжень бюджетних установ – 11650,8 тис.грн.; </w:t>
      </w:r>
    </w:p>
    <w:p w:rsidR="000E793A" w:rsidRDefault="00806EF9">
      <w:pPr>
        <w:numPr>
          <w:ilvl w:val="0"/>
          <w:numId w:val="1"/>
        </w:numPr>
        <w:ind w:right="49" w:hanging="360"/>
      </w:pPr>
      <w:r>
        <w:t xml:space="preserve">надходження коштів пайової участі у розвитку інфраструктури населеного  пункту  - 215,6 тис.грн.; </w:t>
      </w:r>
    </w:p>
    <w:p w:rsidR="000E793A" w:rsidRDefault="00806EF9">
      <w:pPr>
        <w:numPr>
          <w:ilvl w:val="0"/>
          <w:numId w:val="1"/>
        </w:numPr>
        <w:ind w:right="49" w:hanging="360"/>
      </w:pPr>
      <w:r>
        <w:t>цільових фондів – 76,</w:t>
      </w:r>
      <w:r>
        <w:t xml:space="preserve">6 тис.грн.; </w:t>
      </w:r>
    </w:p>
    <w:p w:rsidR="000E793A" w:rsidRDefault="00806EF9">
      <w:pPr>
        <w:numPr>
          <w:ilvl w:val="0"/>
          <w:numId w:val="1"/>
        </w:numPr>
        <w:ind w:right="49" w:hanging="360"/>
      </w:pPr>
      <w:r>
        <w:t xml:space="preserve">екологічного податку -72,0 тис.грн; </w:t>
      </w:r>
    </w:p>
    <w:p w:rsidR="000E793A" w:rsidRDefault="00806EF9">
      <w:pPr>
        <w:numPr>
          <w:ilvl w:val="0"/>
          <w:numId w:val="1"/>
        </w:numPr>
        <w:ind w:right="49" w:hanging="360"/>
      </w:pPr>
      <w:r>
        <w:t xml:space="preserve">надходження від продажу землі – 271,3 тис.грн. </w:t>
      </w:r>
    </w:p>
    <w:p w:rsidR="000E793A" w:rsidRDefault="00806EF9">
      <w:pPr>
        <w:ind w:left="2" w:right="49" w:firstLine="708"/>
      </w:pPr>
      <w:r>
        <w:t xml:space="preserve">Видаткова частина  фінансувалась в межах  кошторисних призначень та виходячи з наявного фінансового ресурсу. </w:t>
      </w:r>
    </w:p>
    <w:p w:rsidR="000E793A" w:rsidRDefault="00806EF9">
      <w:pPr>
        <w:ind w:left="12" w:right="49"/>
      </w:pPr>
      <w:r>
        <w:t xml:space="preserve"> Видатки  бюджету міста Глухова за 2016 рік  скл</w:t>
      </w:r>
      <w:r>
        <w:t xml:space="preserve">али 264455,5 тис. грн., або 101,6 % до затвердженого річного плану, з них загальний фонд – 244134,5 тис. грн. (99,7 %), спеціальний – 20321,0 тис. грн. (130,0 %). </w:t>
      </w:r>
    </w:p>
    <w:p w:rsidR="000E793A" w:rsidRDefault="00806EF9">
      <w:pPr>
        <w:ind w:left="2" w:right="49" w:firstLine="708"/>
      </w:pPr>
      <w:r>
        <w:t>Видатки соціального спрямування по загальному фонду склали 229854,5  тис. грн., з них: 49478</w:t>
      </w:r>
      <w:r>
        <w:t>,2  тис. грн. спрямовано на освіту ( 99,9 % до затверджених річних призначень), 45535,2 тис. грн. - охорону здоров’я (99,8 %), 129812,6 тис. грн. – соціальний захист і соціальне забезпечення (99,9 %),  3908,1 тис. грн. – культуру (99,4 %),  1120,4 тис. грн</w:t>
      </w:r>
      <w:r>
        <w:t>. – фізичну культуру і спорт (100,0 %).   Захищені статті в структурі  видатків загального фонду займають 96,0 %, на їх  фінансування направлено 234452,6 тис. грн. Найбільшу питому вагу займає  заробітна плата з нарахуваннями –  31,7 %, видатки на цю статт</w:t>
      </w:r>
      <w:r>
        <w:t>ю складають 77495,6 тис. грн., при цьому на виплату заробітної плати з нарахуваннями працівникам освіти направлено 34127,5 тис. грн. (69,0 % видатків галузі), охорони здоров’я – 29892,0 тис. грн. (65,6 %), соціального захисту і соціального забезпечення – 2</w:t>
      </w:r>
      <w:r>
        <w:t xml:space="preserve">834,3 тис. грн. ( 2,2 %), культури –     3042,1  тис. грн. ( 77,8 %), фізичної культури і спорту – 843,7 тис. грн. ( 75,3 %). </w:t>
      </w:r>
    </w:p>
    <w:p w:rsidR="000E793A" w:rsidRDefault="00806EF9">
      <w:pPr>
        <w:ind w:left="12" w:right="49"/>
      </w:pPr>
      <w:r>
        <w:t xml:space="preserve"> На охорону здоровʼя, крім медичної субвенції, додатково направлено коштів міського бюджету на суму 6305,1 тис. грн.., на освіту </w:t>
      </w:r>
      <w:r>
        <w:t xml:space="preserve">(утримання шкіл) – 5652,8 тис. грн., всього -11957,9 тис.грн.  </w:t>
      </w:r>
    </w:p>
    <w:p w:rsidR="000E793A" w:rsidRDefault="00806EF9">
      <w:pPr>
        <w:spacing w:after="21" w:line="259" w:lineRule="auto"/>
        <w:ind w:right="35"/>
        <w:jc w:val="right"/>
      </w:pPr>
      <w:r>
        <w:t>На благоустрій міста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  <w:r>
        <w:t xml:space="preserve">за рахунок загального фонду направлено  - 3653,7 тис. грн., з них:  </w:t>
      </w:r>
    </w:p>
    <w:p w:rsidR="000E793A" w:rsidRDefault="00806EF9">
      <w:pPr>
        <w:ind w:left="12" w:right="49"/>
      </w:pPr>
      <w:r>
        <w:t xml:space="preserve">електроенергія та ремонт  вуличного освітлення – 812,5 тис. грн., послуги по озелененню – 418,8 тис. </w:t>
      </w:r>
      <w:r>
        <w:t xml:space="preserve">грн., послуги по санітарному обробленню та вивезення і захоронення ТВП – 1639,3 тис. грн.,  утримання доріг  та тротуарів (посипання, чищення доріг) – 301,3 тис. грн., послуги з організації новорічної ялинки та оформлення міста до свят – 135,2 тис. грн.;  </w:t>
      </w:r>
      <w:r>
        <w:t xml:space="preserve">інші види робіт з благоустрою – 346,6 тис. грн.в (т. ч. з обласного бюджету на виконання депутатських повноважень депутатів Сумської обласної ради використано кошти в загальній сумі – 79,4 тис. грн.), спеціального фонду – 108,8 тис.грн.  </w:t>
      </w:r>
    </w:p>
    <w:p w:rsidR="000E793A" w:rsidRDefault="00806EF9">
      <w:pPr>
        <w:ind w:left="718" w:right="49"/>
      </w:pPr>
      <w:r>
        <w:t>На утримання та п</w:t>
      </w:r>
      <w:r>
        <w:t xml:space="preserve">оточний ремонт доріг, розмітку та інше направлено -1369,6 тис. </w:t>
      </w:r>
    </w:p>
    <w:p w:rsidR="000E793A" w:rsidRDefault="00806EF9">
      <w:pPr>
        <w:ind w:left="2" w:right="49" w:firstLine="708"/>
      </w:pPr>
      <w:r>
        <w:t>За рахунок коштів бюджету розвитку профінансовано  - 8674,6 тис. грн.  в т. ч.за рахунок субвенції на соціально-економічний розвиток окремих територій - 2125,1 тис.грн., за рахунок субвенції з</w:t>
      </w:r>
      <w:r>
        <w:t xml:space="preserve"> обласного бюджету  на виконання депутатських повноважень депутатів Сумської обласної ради  - 297,2 тис.грн., за рахунок освітньої субвенції  - 322,9 тис.грн., за рахунок іншої субвенції -1013,7 тис.грн., медичної субвенції -100,0 тис.грн., коштів міського</w:t>
      </w:r>
      <w:r>
        <w:t xml:space="preserve"> бюджету - 4815,7 тис.грн.  </w:t>
      </w:r>
    </w:p>
    <w:p w:rsidR="000E793A" w:rsidRDefault="00806EF9">
      <w:pPr>
        <w:spacing w:after="21" w:line="259" w:lineRule="auto"/>
        <w:ind w:right="35"/>
        <w:jc w:val="right"/>
      </w:pPr>
      <w:r>
        <w:t xml:space="preserve">Кощти бюджету розвитку були використані на капітальні ремонти  об’єктів інфраструктури : </w:t>
      </w:r>
    </w:p>
    <w:p w:rsidR="000E793A" w:rsidRDefault="00806EF9">
      <w:pPr>
        <w:ind w:left="12" w:right="49"/>
      </w:pPr>
      <w:r>
        <w:t xml:space="preserve">проведено поточний та капітальний ремонт доріг, житлового фонду ОСББ,   капітальний ремонт об’єктів соціально-культурної сфери, придбана </w:t>
      </w:r>
      <w:r>
        <w:t>комп’ютерна техніка, класи, обладнання та меблі  для ЦРЛ та  закладів освіти, музичні інструменти для відділу культури, проведена  реконструкція вуличного освітлення, придбано пам’ятник Т.Г.Шевченку, поповнення статутного фонду КП " Тепловий район " на при</w:t>
      </w:r>
      <w:r>
        <w:t xml:space="preserve">дбання лічильників тепла.  </w:t>
      </w:r>
    </w:p>
    <w:p w:rsidR="000E793A" w:rsidRDefault="00806EF9">
      <w:pPr>
        <w:ind w:left="2" w:right="49" w:firstLine="708"/>
      </w:pPr>
      <w:r>
        <w:lastRenderedPageBreak/>
        <w:t>За рахунок цільових фондів було зроблено  корегування ПКД по будівництву ливневої  каналізації від вул. Ціолковського до вул. Валової ,  проведені загальноміські заходи та направлені кошти на  придбання та встановлення пам’ятник</w:t>
      </w:r>
      <w:r>
        <w:t xml:space="preserve">а  Шевченку в сумі 95,3 тис.грн. </w:t>
      </w:r>
    </w:p>
    <w:p w:rsidR="000E793A" w:rsidRDefault="00806EF9">
      <w:pPr>
        <w:ind w:left="2" w:right="49" w:firstLine="708"/>
      </w:pPr>
      <w:r>
        <w:t>За рахунок цільових субвенцій з державного бюджету місцевим бюджетам виплачено допомог сім’ям з дітьми, малозабезпеченим сім’ям, інвалідам з дитинства, дітям-інвалідам та тимчасової державної допомоги дітям в сумі – 38055,</w:t>
      </w:r>
      <w:r>
        <w:t>5 тис. грн., на виплату соціальної допомоги на дітей-сиріт і дітей, позбавлених батьківського піклування</w:t>
      </w:r>
      <w:r>
        <w:rPr>
          <w:i/>
        </w:rPr>
        <w:t>,</w:t>
      </w:r>
      <w:r>
        <w:t xml:space="preserve"> грошового забезпечення батькамвихователям і прийомним батькам за надання соціальних послуг у дитячих будинках сімейного типу та прийомних сім’ях за пр</w:t>
      </w:r>
      <w:r>
        <w:t>инципом «гроші ходять за дитиною» в сумі – 434,0 тис. грн., за надані пільги та житлові субсидії населенню на оплату житлово-комунальних послуг в сумі – 84681,4 тис. грн., за надані пільги та житлові субсидії населенню на придбання твердого та рідкого пічн</w:t>
      </w:r>
      <w:r>
        <w:t xml:space="preserve">ого побутового палива і скрапленого газу  в сумі – 1947,6 тис. грн. </w:t>
      </w:r>
    </w:p>
    <w:p w:rsidR="000E793A" w:rsidRDefault="00806EF9">
      <w:pPr>
        <w:spacing w:after="20" w:line="259" w:lineRule="auto"/>
        <w:ind w:left="673" w:right="0"/>
        <w:jc w:val="center"/>
      </w:pPr>
      <w:r>
        <w:t xml:space="preserve">З обласного бюджету місцевому бюджету на соціальні виплати було направлено 248,6 тис. </w:t>
      </w:r>
    </w:p>
    <w:p w:rsidR="000E793A" w:rsidRDefault="00806EF9">
      <w:pPr>
        <w:ind w:left="12" w:right="49"/>
      </w:pPr>
      <w:r>
        <w:t xml:space="preserve">грн. на такі соціальні допомоги: </w:t>
      </w:r>
      <w:r>
        <w:t xml:space="preserve">на виконання депутатських повноважень депутатів Сумської обласної ради – 142,9,0 тис. грн., на забезпечення твердим паливом (дровами) сімей учасників антитерористичної операції – 27,8 тис. грн., на пільгове медичне обслуговування громадян, які постраждали </w:t>
      </w:r>
      <w:r>
        <w:t>внаслідок Чорнобильської катастрофи – 48,2 тис. грн., на оплату компенсаційних виплат інвалідам на бензин, ремонт, техобслуговування автотранспорту та транспортне обслуговування – 8,1 тис. грн., на поховання учасників бойових дій та інвалідів війни – 9,5 т</w:t>
      </w:r>
      <w:r>
        <w:t>ис. грн., на обробку інформації з нарахування та виплати допомог і компенсацій – 9,4 тис. грн., для компенсаційних виплат за пільговий проїзд інвалідам війни та учасникам бойових дій з числа учасників антитерористичної операції – 2,6 тис. грн., на   встано</w:t>
      </w:r>
      <w:r>
        <w:t>влення   телефонів   інвалідам  І  та  ІІ груп – 0,1 тис. грн. З міського бюджету м. Глухів до обласного бюджету Сумської області було направлено 84,9 тис. грн., а саме: на здійснення компенсаційних виплат за пільговий проїзд учасникам АТО автомобільним тр</w:t>
      </w:r>
      <w:r>
        <w:t>анспортом на автобусних маршрутах загального користування – 62,2 тис. грн., на здійснення компенсаційних виплат за пільговий проїзд окремим пільговим категоріям (крім пенсіонерів) автомобільним транспортом загального користування у міжміському внутрішньо о</w:t>
      </w:r>
      <w:r>
        <w:t xml:space="preserve">бласному сполученні – 22,7 тис. грн. </w:t>
      </w:r>
    </w:p>
    <w:p w:rsidR="000E793A" w:rsidRDefault="00806EF9">
      <w:pPr>
        <w:spacing w:after="87"/>
        <w:ind w:left="1002" w:right="49"/>
      </w:pPr>
      <w:r>
        <w:t xml:space="preserve">Резервний фонд бюджету міста Глухова протягом 2016 року не використовувався. </w:t>
      </w:r>
    </w:p>
    <w:p w:rsidR="000E793A" w:rsidRDefault="00806EF9">
      <w:pPr>
        <w:ind w:left="2" w:right="49" w:firstLine="567"/>
      </w:pPr>
      <w:r>
        <w:t xml:space="preserve">Кредиторська заборгованість бюджетних установ, що утримуються за рахунок коштів загального фонду міського бюджету станом на 01.01.2017 року склала 29479,0 тис. грн. В порівнянні з початком 2016 року заборгованість збільшилась на 6310,9 тис. грн. або 30 %. </w:t>
      </w:r>
      <w:r>
        <w:t xml:space="preserve">Вся кредиторська заборгованість – це заборгованість до державного бюджету. Прострочена заборгованість складає 1205,1 тис. грн.( кошти державного бюджету по пільгах та субсидіях).  </w:t>
      </w:r>
    </w:p>
    <w:p w:rsidR="000E793A" w:rsidRDefault="00806EF9">
      <w:pPr>
        <w:ind w:left="2" w:right="49" w:firstLine="708"/>
      </w:pPr>
      <w:r>
        <w:t>Бюджетними установами станом на 01.01.2017 забезпечено економію бюджетних к</w:t>
      </w:r>
      <w:r>
        <w:t xml:space="preserve">оштів на суму 1778,5 тис. грн., в тому числі за рахунок удосконалення мережі – 724,6  тис. грн.,  за рахунок лікарняних – 843,2 тис. грн.,  за рахунок відпустки без збереження – 144,3 тис. грн., інші – 40,0 тис. </w:t>
      </w:r>
    </w:p>
    <w:p w:rsidR="000E793A" w:rsidRDefault="00806EF9">
      <w:pPr>
        <w:ind w:left="12" w:right="49"/>
      </w:pPr>
      <w:r>
        <w:t xml:space="preserve">грн. </w:t>
      </w:r>
    </w:p>
    <w:p w:rsidR="000E793A" w:rsidRDefault="00806EF9">
      <w:pPr>
        <w:spacing w:after="96" w:line="259" w:lineRule="auto"/>
        <w:ind w:left="992" w:right="0" w:firstLine="0"/>
        <w:jc w:val="left"/>
      </w:pPr>
      <w:r>
        <w:rPr>
          <w:color w:val="FF0000"/>
        </w:rPr>
        <w:t xml:space="preserve"> </w:t>
      </w:r>
    </w:p>
    <w:p w:rsidR="000E793A" w:rsidRDefault="00806EF9">
      <w:pPr>
        <w:spacing w:after="143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:rsidR="000E793A" w:rsidRDefault="00806EF9">
      <w:pPr>
        <w:tabs>
          <w:tab w:val="center" w:pos="6373"/>
          <w:tab w:val="center" w:pos="7081"/>
          <w:tab w:val="center" w:pos="8631"/>
          <w:tab w:val="center" w:pos="9914"/>
        </w:tabs>
        <w:spacing w:after="0" w:line="259" w:lineRule="auto"/>
        <w:ind w:left="0" w:right="0" w:firstLine="0"/>
        <w:jc w:val="left"/>
      </w:pPr>
      <w:r>
        <w:rPr>
          <w:b/>
        </w:rPr>
        <w:t>Начальник  фінансового управління</w:t>
      </w:r>
      <w:r>
        <w:rPr>
          <w:b/>
        </w:rPr>
        <w:t xml:space="preserve"> міської ради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А.В. Онищенко  </w:t>
      </w:r>
      <w:r>
        <w:rPr>
          <w:b/>
        </w:rPr>
        <w:tab/>
        <w:t xml:space="preserve">                 </w:t>
      </w:r>
    </w:p>
    <w:p w:rsidR="000E793A" w:rsidRDefault="00806EF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</w:t>
      </w:r>
    </w:p>
    <w:sectPr w:rsidR="000E793A">
      <w:pgSz w:w="11906" w:h="16838"/>
      <w:pgMar w:top="354" w:right="519" w:bottom="498" w:left="9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A10A1"/>
    <w:multiLevelType w:val="hybridMultilevel"/>
    <w:tmpl w:val="5FE2EA4E"/>
    <w:lvl w:ilvl="0" w:tplc="60BA41FA">
      <w:start w:val="1"/>
      <w:numFmt w:val="bullet"/>
      <w:lvlText w:val="-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0A24C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96C40A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C07704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2CE3E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AA0BD0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6463D4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C02AA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908690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3A"/>
    <w:rsid w:val="000E793A"/>
    <w:rsid w:val="0080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2556E-7628-4A66-99E5-155B2982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9" w:lineRule="auto"/>
      <w:ind w:left="10" w:right="7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 про підсумки виконання бюджету міста Глухова</vt:lpstr>
    </vt:vector>
  </TitlesOfParts>
  <Company>SPecialiST RePack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 про підсумки виконання бюджету міста Глухова</dc:title>
  <dc:subject/>
  <dc:creator>Ptachka</dc:creator>
  <cp:keywords/>
  <cp:lastModifiedBy>Пользователь Windows</cp:lastModifiedBy>
  <cp:revision>2</cp:revision>
  <dcterms:created xsi:type="dcterms:W3CDTF">2017-03-03T12:50:00Z</dcterms:created>
  <dcterms:modified xsi:type="dcterms:W3CDTF">2017-03-03T12:50:00Z</dcterms:modified>
</cp:coreProperties>
</file>