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276D15D5" w:rsidR="00FF66CB" w:rsidRPr="006560D9" w:rsidRDefault="00FD1F2D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</w:rPr>
        <w:t>13.01.2023</w:t>
      </w:r>
      <w:bookmarkStart w:id="0" w:name="_GoBack"/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ru-RU"/>
        </w:rPr>
        <w:t>8-ОД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3F3BD91B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Комунального підприємства «Глухівський водоканал»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>на 202</w:t>
      </w:r>
      <w:r w:rsidR="004D3291">
        <w:rPr>
          <w:rFonts w:ascii="Times New Roman" w:hAnsi="Times New Roman"/>
          <w:b/>
          <w:sz w:val="28"/>
          <w:szCs w:val="28"/>
        </w:rPr>
        <w:t>3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3373C718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4D3291">
        <w:rPr>
          <w:rFonts w:ascii="Times New Roman" w:hAnsi="Times New Roman"/>
          <w:sz w:val="28"/>
          <w:szCs w:val="28"/>
        </w:rPr>
        <w:t>Щебедько О.М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«Глухівський водоканал»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2023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7BA9B503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542AA8">
        <w:rPr>
          <w:rFonts w:ascii="Times New Roman" w:hAnsi="Times New Roman"/>
          <w:sz w:val="28"/>
          <w:szCs w:val="28"/>
        </w:rPr>
        <w:t>Щебедько О.М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водоканал»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>на 2023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49EA0" w14:textId="77777777" w:rsidR="000141B8" w:rsidRDefault="000141B8" w:rsidP="00087E5B">
      <w:r>
        <w:separator/>
      </w:r>
    </w:p>
  </w:endnote>
  <w:endnote w:type="continuationSeparator" w:id="0">
    <w:p w14:paraId="322FD82B" w14:textId="77777777" w:rsidR="000141B8" w:rsidRDefault="000141B8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5660F" w14:textId="77777777" w:rsidR="000141B8" w:rsidRDefault="000141B8" w:rsidP="00087E5B">
      <w:r>
        <w:separator/>
      </w:r>
    </w:p>
  </w:footnote>
  <w:footnote w:type="continuationSeparator" w:id="0">
    <w:p w14:paraId="0A20F477" w14:textId="77777777" w:rsidR="000141B8" w:rsidRDefault="000141B8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User</cp:lastModifiedBy>
  <cp:revision>5</cp:revision>
  <cp:lastPrinted>2023-01-13T12:42:00Z</cp:lastPrinted>
  <dcterms:created xsi:type="dcterms:W3CDTF">2023-01-13T09:25:00Z</dcterms:created>
  <dcterms:modified xsi:type="dcterms:W3CDTF">2023-01-23T12:07:00Z</dcterms:modified>
</cp:coreProperties>
</file>