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B5" w:rsidRPr="00615E36" w:rsidRDefault="00A724B5" w:rsidP="00A724B5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E434A3">
        <w:t xml:space="preserve"> </w:t>
      </w:r>
      <w:r w:rsidRPr="00615E36">
        <w:rPr>
          <w:lang w:val="uk-UA"/>
        </w:rPr>
        <w:t xml:space="preserve">                   </w:t>
      </w:r>
      <w:r>
        <w:rPr>
          <w:lang w:val="uk-UA"/>
        </w:rPr>
        <w:t xml:space="preserve">                                                                      </w:t>
      </w:r>
      <w:r w:rsidRPr="00615E36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0A2551B4" wp14:editId="54BC28DA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4B5" w:rsidRPr="00615E36" w:rsidRDefault="00A724B5" w:rsidP="00A724B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A724B5" w:rsidRPr="00615E36" w:rsidRDefault="00A724B5" w:rsidP="00A724B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A724B5" w:rsidRPr="00615E36" w:rsidRDefault="00A724B5" w:rsidP="00A724B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A724B5" w:rsidRPr="00615E36" w:rsidRDefault="00A724B5" w:rsidP="00A724B5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A724B5" w:rsidRPr="00615E36" w:rsidRDefault="00A724B5" w:rsidP="00A724B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A724B5" w:rsidRPr="00615E36" w:rsidRDefault="00A724B5" w:rsidP="00A724B5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A724B5" w:rsidRPr="009B2D11" w:rsidRDefault="00995EB0" w:rsidP="00A724B5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31.03.2021</w:t>
      </w:r>
      <w:r w:rsidR="00A724B5" w:rsidRPr="00615E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</w:t>
      </w:r>
      <w:r w:rsidR="00D24D3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</w:t>
      </w:r>
      <w:r w:rsidR="00A724B5"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</w:t>
      </w:r>
      <w:r w:rsidR="00A724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A724B5"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2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D24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№  75-ОД</w:t>
      </w:r>
    </w:p>
    <w:p w:rsidR="00A724B5" w:rsidRDefault="00A724B5" w:rsidP="00A724B5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A724B5" w:rsidRDefault="00A724B5" w:rsidP="00A724B5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A724B5" w:rsidRDefault="00A724B5" w:rsidP="00A724B5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заходи із вшанування подвигу  </w:t>
      </w:r>
    </w:p>
    <w:p w:rsidR="00A724B5" w:rsidRDefault="00A724B5" w:rsidP="00A724B5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учасників Революції Гідності та увічнення</w:t>
      </w:r>
    </w:p>
    <w:p w:rsidR="00646AAD" w:rsidRDefault="00A724B5" w:rsidP="00A724B5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пам’яті Героїв Небесної Сотні </w:t>
      </w:r>
      <w:r w:rsidR="0064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 території </w:t>
      </w:r>
    </w:p>
    <w:p w:rsidR="00A724B5" w:rsidRPr="00646AAD" w:rsidRDefault="00646AAD" w:rsidP="00A724B5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Глухівської міської ради </w:t>
      </w:r>
      <w:r w:rsidR="00A72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2021 - 2025 роки</w:t>
      </w:r>
    </w:p>
    <w:p w:rsidR="00A724B5" w:rsidRPr="00615E36" w:rsidRDefault="00A724B5" w:rsidP="00A72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lang w:val="uk-UA"/>
        </w:rPr>
        <w:t xml:space="preserve">          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4B5" w:rsidRPr="003657F6" w:rsidRDefault="00A724B5" w:rsidP="00A724B5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  <w:r w:rsidR="00372E09">
        <w:rPr>
          <w:rFonts w:ascii="Times New Roman" w:hAnsi="Times New Roman" w:cs="Times New Roman"/>
          <w:sz w:val="28"/>
          <w:szCs w:val="28"/>
          <w:lang w:val="uk-UA"/>
        </w:rPr>
        <w:t xml:space="preserve"> Сумської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</w:t>
      </w:r>
      <w:r>
        <w:rPr>
          <w:rFonts w:ascii="Times New Roman" w:hAnsi="Times New Roman" w:cs="Times New Roman"/>
          <w:sz w:val="28"/>
          <w:szCs w:val="28"/>
          <w:lang w:val="uk-UA"/>
        </w:rPr>
        <w:t>дміністрації від 17.03.2021 № 141-ОД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заходи із вшанування</w:t>
      </w:r>
      <w:r w:rsidRPr="003657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подвигу  учасників Революції Гідності та увічнення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657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пам’яті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</w:t>
      </w:r>
      <w:r w:rsidRPr="003657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ероїв Небесної Сотні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Сумській області </w:t>
      </w:r>
      <w:r w:rsidRPr="003657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2021 - 2025</w:t>
      </w:r>
      <w:r w:rsidR="004647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r>
        <w:rPr>
          <w:rFonts w:ascii="Times New Roman" w:hAnsi="Times New Roman" w:cs="Times New Roman"/>
          <w:sz w:val="28"/>
          <w:szCs w:val="28"/>
          <w:lang w:val="uk-UA"/>
        </w:rPr>
        <w:t>метою гідного вшанування громадянської мужності учасників подій Революції Гідності у відстоюванні прав людини та європейського майбутнього України, їх відданості ідеалам свободи, справедливості, утвердження в державі демократичних цінностей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</w:t>
      </w:r>
      <w:r>
        <w:rPr>
          <w:rFonts w:ascii="Times New Roman" w:hAnsi="Times New Roman" w:cs="Times New Roman"/>
          <w:sz w:val="28"/>
          <w:szCs w:val="28"/>
          <w:lang w:val="uk-UA"/>
        </w:rPr>
        <w:t>ертої статті 42</w:t>
      </w:r>
      <w:r w:rsidR="00372E09">
        <w:rPr>
          <w:rFonts w:ascii="Times New Roman" w:hAnsi="Times New Roman" w:cs="Times New Roman"/>
          <w:sz w:val="28"/>
          <w:szCs w:val="28"/>
          <w:lang w:val="uk-UA"/>
        </w:rPr>
        <w:t xml:space="preserve"> та статтею 59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>Про м</w:t>
      </w:r>
      <w:r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A724B5" w:rsidRPr="003657F6" w:rsidRDefault="00A724B5" w:rsidP="00646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1. Затвердити план </w:t>
      </w:r>
      <w:r w:rsidRPr="003657F6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657F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вшанування подвигу учасників Революції Гідності та увічнення пам’яті Героїв Небесної Сот</w:t>
      </w:r>
      <w:r w:rsidR="004647C1">
        <w:rPr>
          <w:rFonts w:ascii="Times New Roman" w:hAnsi="Times New Roman" w:cs="Times New Roman"/>
          <w:sz w:val="28"/>
          <w:szCs w:val="28"/>
          <w:lang w:val="uk-UA"/>
        </w:rPr>
        <w:t xml:space="preserve">ні </w:t>
      </w:r>
      <w:r w:rsidR="00646AAD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646AAD" w:rsidRPr="00646AAD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міської ради </w:t>
      </w:r>
      <w:r w:rsidR="004647C1">
        <w:rPr>
          <w:rFonts w:ascii="Times New Roman" w:hAnsi="Times New Roman" w:cs="Times New Roman"/>
          <w:sz w:val="28"/>
          <w:szCs w:val="28"/>
          <w:lang w:val="uk-UA"/>
        </w:rPr>
        <w:t>на 2021 - 2025 роки</w:t>
      </w:r>
      <w:r w:rsidRPr="003657F6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A724B5" w:rsidRPr="00615E36" w:rsidRDefault="00A724B5" w:rsidP="00A72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57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2. Відповідальним виконавцям інформувати про хід виконання затверджених цим розпорядженням заходів відділ </w:t>
      </w:r>
      <w:r w:rsidR="005A5B90">
        <w:rPr>
          <w:rFonts w:ascii="Times New Roman" w:hAnsi="Times New Roman" w:cs="Times New Roman"/>
          <w:sz w:val="28"/>
          <w:szCs w:val="28"/>
          <w:lang w:val="uk-UA"/>
        </w:rPr>
        <w:t xml:space="preserve">з питань інформаційної та правоохоронної діяльності апарату міської ради та її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>до 21 лютого та 22 листопада</w:t>
      </w:r>
      <w:r w:rsidR="000D03B4">
        <w:rPr>
          <w:rFonts w:ascii="Times New Roman" w:hAnsi="Times New Roman" w:cs="Times New Roman"/>
          <w:sz w:val="28"/>
          <w:szCs w:val="28"/>
          <w:lang w:val="uk-UA"/>
        </w:rPr>
        <w:t xml:space="preserve"> протягом 2021-2025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A724B5" w:rsidRPr="00615E36" w:rsidRDefault="00A724B5" w:rsidP="00A72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3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0D03B4">
        <w:rPr>
          <w:rFonts w:ascii="Times New Roman" w:hAnsi="Times New Roman" w:cs="Times New Roman"/>
          <w:sz w:val="28"/>
          <w:szCs w:val="28"/>
          <w:lang w:val="uk-UA"/>
        </w:rPr>
        <w:t xml:space="preserve">з питань інформаційної та правоохоронної діяльності апарату міської ради та її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>узагальнювати отриману інформацію та надавати її в термін до 22 люто</w:t>
      </w:r>
      <w:r w:rsidR="002709B2">
        <w:rPr>
          <w:rFonts w:ascii="Times New Roman" w:hAnsi="Times New Roman" w:cs="Times New Roman"/>
          <w:sz w:val="28"/>
          <w:szCs w:val="28"/>
          <w:lang w:val="uk-UA"/>
        </w:rPr>
        <w:t>го та 23 листопада протягом 2021 - 2025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 міському голові.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4B5" w:rsidRDefault="00A724B5" w:rsidP="00A724B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15E36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615E3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15E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E3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15E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E36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615E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E3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15E36">
        <w:rPr>
          <w:rFonts w:ascii="Times New Roman" w:hAnsi="Times New Roman" w:cs="Times New Roman"/>
          <w:sz w:val="28"/>
          <w:szCs w:val="28"/>
        </w:rPr>
        <w:t xml:space="preserve"> </w:t>
      </w:r>
      <w:r w:rsidR="002709B2">
        <w:rPr>
          <w:rFonts w:ascii="Times New Roman" w:hAnsi="Times New Roman" w:cs="Times New Roman"/>
          <w:sz w:val="28"/>
          <w:szCs w:val="28"/>
          <w:lang w:val="uk-UA"/>
        </w:rPr>
        <w:t>на керуючого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справами виконавчого комітету міської ради </w:t>
      </w:r>
      <w:proofErr w:type="spellStart"/>
      <w:r w:rsidR="002709B2"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 w:rsidR="002709B2">
        <w:rPr>
          <w:rFonts w:ascii="Times New Roman" w:hAnsi="Times New Roman" w:cs="Times New Roman"/>
          <w:sz w:val="28"/>
          <w:szCs w:val="28"/>
          <w:lang w:val="uk-UA"/>
        </w:rPr>
        <w:t xml:space="preserve"> Л.А.</w:t>
      </w:r>
    </w:p>
    <w:p w:rsidR="00A724B5" w:rsidRPr="00615E36" w:rsidRDefault="00A724B5" w:rsidP="00A724B5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24B5" w:rsidRPr="00615E36" w:rsidRDefault="00A724B5" w:rsidP="00A724B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4B5" w:rsidRDefault="00A724B5" w:rsidP="00A724B5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Міський голова                                                            </w:t>
      </w:r>
      <w:r w:rsidR="002709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2709B2"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</w:p>
    <w:p w:rsidR="00A724B5" w:rsidRDefault="00A724B5" w:rsidP="00A7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</w:p>
    <w:p w:rsidR="00372E09" w:rsidRDefault="00A724B5" w:rsidP="00372E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4158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372E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</w:p>
    <w:p w:rsidR="00372E09" w:rsidRDefault="00A724B5" w:rsidP="00372E09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ЗАТВЕРДЖЕНО</w:t>
      </w:r>
    </w:p>
    <w:p w:rsidR="00372E09" w:rsidRDefault="00A724B5" w:rsidP="00372E0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</w:t>
      </w:r>
      <w:r w:rsidR="00372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голови        </w:t>
      </w:r>
    </w:p>
    <w:p w:rsidR="00A724B5" w:rsidRPr="00372E09" w:rsidRDefault="00995EB0" w:rsidP="00372E09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31.03.2021 № 75-ОД</w:t>
      </w:r>
      <w:bookmarkStart w:id="0" w:name="_GoBack"/>
      <w:bookmarkEnd w:id="0"/>
      <w:r w:rsidR="00A724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</w:p>
    <w:p w:rsidR="00A724B5" w:rsidRPr="00615E36" w:rsidRDefault="00A724B5" w:rsidP="00A724B5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p w:rsidR="00A724B5" w:rsidRPr="00615E36" w:rsidRDefault="00A724B5" w:rsidP="00A724B5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24B5" w:rsidRPr="00CA27E2" w:rsidRDefault="00376BB0" w:rsidP="00A724B5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646AAD" w:rsidRDefault="00A724B5" w:rsidP="00646AAD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</w:t>
      </w:r>
      <w:r w:rsidRPr="00CA2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вшанування подвигу учасників Революці</w:t>
      </w:r>
      <w:r w:rsidR="00646A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Гідності та увічнення пам’яті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Героїв Небесної Сотні </w:t>
      </w:r>
      <w:r w:rsidR="00646AAD" w:rsidRPr="00646A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території Глухівської міської ради </w:t>
      </w:r>
    </w:p>
    <w:p w:rsidR="00A724B5" w:rsidRPr="00EA5A9C" w:rsidRDefault="00A724B5" w:rsidP="00646AAD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F6546E">
        <w:rPr>
          <w:rFonts w:ascii="Times New Roman" w:hAnsi="Times New Roman" w:cs="Times New Roman"/>
          <w:b/>
          <w:sz w:val="28"/>
          <w:szCs w:val="28"/>
          <w:lang w:val="uk-UA"/>
        </w:rPr>
        <w:t>2021 – 2025 роки</w:t>
      </w:r>
    </w:p>
    <w:p w:rsidR="00A724B5" w:rsidRPr="00615E36" w:rsidRDefault="00A724B5" w:rsidP="00A724B5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4848"/>
      </w:tblGrid>
      <w:tr w:rsidR="00A724B5" w:rsidRPr="00615E36" w:rsidTr="00ED372B">
        <w:tc>
          <w:tcPr>
            <w:tcW w:w="567" w:type="dxa"/>
          </w:tcPr>
          <w:p w:rsidR="00A724B5" w:rsidRPr="00615E36" w:rsidRDefault="00ED372B" w:rsidP="0054512C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933" w:type="dxa"/>
          </w:tcPr>
          <w:p w:rsidR="00A724B5" w:rsidRPr="00615E36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15E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4848" w:type="dxa"/>
          </w:tcPr>
          <w:p w:rsidR="00A724B5" w:rsidRPr="00615E36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15E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ВИКОНА</w:t>
            </w:r>
            <w:r w:rsidR="00646A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Pr="00615E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</w:t>
            </w:r>
          </w:p>
        </w:tc>
      </w:tr>
      <w:tr w:rsidR="00A724B5" w:rsidRPr="00427942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Pr="00615E36" w:rsidRDefault="00F6546E" w:rsidP="00372E09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і п</w:t>
            </w:r>
            <w:r w:rsidR="00A72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урочистих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культурно-мистецьких</w:t>
            </w:r>
            <w:r w:rsidR="00A854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науково-просвітницьких, музейних та інших тематичних</w:t>
            </w:r>
            <w:r w:rsidR="00A72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57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заходів </w:t>
            </w:r>
            <w:r w:rsidR="00372E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нагоди відзначення Дня Героїв Небесної Сотні та у Дня</w:t>
            </w:r>
            <w:r w:rsidR="00372E09" w:rsidRPr="00372E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Гідності та Свободи </w:t>
            </w:r>
            <w:r w:rsidR="00857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участю представників духовенства та громадських об’єднань</w:t>
            </w:r>
            <w:r w:rsidR="00A26F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857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48" w:type="dxa"/>
          </w:tcPr>
          <w:p w:rsidR="00A26F0D" w:rsidRDefault="00A26F0D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питань інформаційної та правоохоронної діяльності </w:t>
            </w:r>
            <w:r w:rsidR="00A81A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апарату міської ради та її виконавчого комітету</w:t>
            </w:r>
          </w:p>
          <w:p w:rsidR="00A724B5" w:rsidRDefault="00A724B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A26F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 w:rsidR="00A26F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М.О.)</w:t>
            </w:r>
          </w:p>
          <w:p w:rsidR="00A724B5" w:rsidRDefault="00A724B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724B5" w:rsidRDefault="00A724B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  <w:p w:rsidR="00A724B5" w:rsidRPr="00615E36" w:rsidRDefault="00A724B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 лютого та 21 </w:t>
            </w:r>
            <w:r w:rsidR="00A26F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листопада протягом 2021-2025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A724B5" w:rsidRPr="00B05554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A81A5E" w:rsidP="00372E09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Покладання квітів до </w:t>
            </w:r>
            <w:r w:rsidR="00D91E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пам’ятного знаку Героям Небесної Сотні</w:t>
            </w:r>
            <w:r w:rsidR="00A72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День Героїв Небесної Сотні</w:t>
            </w:r>
            <w:r w:rsidR="00D91E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у</w:t>
            </w:r>
            <w:r w:rsidR="00A72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День Гідності та Свободи </w:t>
            </w:r>
          </w:p>
        </w:tc>
        <w:tc>
          <w:tcPr>
            <w:tcW w:w="4848" w:type="dxa"/>
          </w:tcPr>
          <w:p w:rsidR="000469CE" w:rsidRDefault="000469CE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  <w:p w:rsidR="000469CE" w:rsidRDefault="000469CE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М.О.)</w:t>
            </w:r>
          </w:p>
          <w:p w:rsidR="00A724B5" w:rsidRDefault="00A724B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 лютого та 21 листопада протягом </w:t>
            </w:r>
            <w:r w:rsidR="00160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A724B5" w:rsidRPr="00B05554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567FB2" w:rsidP="00160505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Облаштування </w:t>
            </w:r>
            <w:r w:rsidR="00160505" w:rsidRPr="00160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пам’ятного знаку </w:t>
            </w:r>
            <w:r w:rsidR="008E781C" w:rsidRPr="00160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Героїв Небесної Сотні</w:t>
            </w:r>
          </w:p>
        </w:tc>
        <w:tc>
          <w:tcPr>
            <w:tcW w:w="4848" w:type="dxa"/>
          </w:tcPr>
          <w:p w:rsidR="00A724B5" w:rsidRDefault="000B3494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житлово-комунального господарства та містобудування</w:t>
            </w:r>
            <w:r w:rsidR="00B717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72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921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Сегеда</w:t>
            </w:r>
            <w:proofErr w:type="spellEnd"/>
            <w:r w:rsidR="00921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М.Ю.)</w:t>
            </w:r>
          </w:p>
          <w:p w:rsidR="00A724B5" w:rsidRDefault="00A724B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921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ротягом 2021-2025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A724B5" w:rsidRPr="0002752F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762777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Опрацювання питання щодо взяття на облік, внесення до Державного реєстру нерухомих пам’яток України</w:t>
            </w:r>
            <w:r w:rsidR="001F1578" w:rsidRPr="00160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об’єктів культурної спадщини, пов’язаних із вшануванням подій Революції Гідності та увічнення пам’яті</w:t>
            </w:r>
            <w:r w:rsidR="007B4110" w:rsidRPr="00160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Героїв Небесної Сотні</w:t>
            </w:r>
            <w:r w:rsidR="001F1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72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48" w:type="dxa"/>
          </w:tcPr>
          <w:p w:rsidR="00A724B5" w:rsidRDefault="00A724B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724B5" w:rsidRDefault="00A724B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  <w:p w:rsidR="00A724B5" w:rsidRDefault="007B4110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2021-2025</w:t>
            </w:r>
            <w:r w:rsidR="00A72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A724B5" w:rsidRPr="009A22BF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A815DC" w:rsidP="00160505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у забезпеченні </w:t>
            </w:r>
            <w:r w:rsidR="00160505" w:rsidRPr="00160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охорони громадського порядку та безпеки громадян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місцях проведення заходів, присвячених Дню Героїв Небесної Сотні, Дню Гідності та Свободи, </w:t>
            </w:r>
          </w:p>
        </w:tc>
        <w:tc>
          <w:tcPr>
            <w:tcW w:w="4848" w:type="dxa"/>
          </w:tcPr>
          <w:p w:rsidR="00085FBE" w:rsidRDefault="00085FBE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  <w:p w:rsidR="00085FBE" w:rsidRDefault="00085FBE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М.О.)</w:t>
            </w:r>
          </w:p>
          <w:p w:rsidR="00A724B5" w:rsidRPr="009A22BF" w:rsidRDefault="00085FBE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Лютий, листопад 2021</w:t>
            </w:r>
            <w:r w:rsidR="00A815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892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  <w:r w:rsidR="00A815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892762" w:rsidRPr="009A22BF" w:rsidTr="00ED372B">
        <w:tc>
          <w:tcPr>
            <w:tcW w:w="567" w:type="dxa"/>
          </w:tcPr>
          <w:p w:rsidR="00892762" w:rsidRPr="0041589B" w:rsidRDefault="00892762" w:rsidP="00892762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892762" w:rsidRDefault="00892762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у забезпеченні медичного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супроводу та належного санітарно-епідеміологічного стану </w:t>
            </w:r>
            <w:r w:rsidR="00160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 час проведення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заходів до Дня Героїв Небесної Сотні та Дня Гідності та Свободи</w:t>
            </w:r>
          </w:p>
        </w:tc>
        <w:tc>
          <w:tcPr>
            <w:tcW w:w="4848" w:type="dxa"/>
          </w:tcPr>
          <w:p w:rsidR="00A160C3" w:rsidRDefault="00A160C3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Відділ з питань інформаційної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правоохоронної діяльності апарату міської ради та її виконавчого комітету</w:t>
            </w:r>
          </w:p>
          <w:p w:rsidR="00A160C3" w:rsidRDefault="00A160C3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М.О.)</w:t>
            </w:r>
          </w:p>
          <w:p w:rsidR="00892762" w:rsidRDefault="009645C2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Лютий, листопад 2021-2025</w:t>
            </w:r>
            <w:r w:rsidR="00892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A724B5" w:rsidRPr="009A22BF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880820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</w:t>
            </w:r>
            <w:r w:rsidR="008F51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нізація показу художніх та документальних фільмів, присвячених подвигу Героїв </w:t>
            </w:r>
            <w:r w:rsidR="007B26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Небесної Сотні та учасників</w:t>
            </w:r>
            <w:r w:rsidR="007C56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Революції Гідності</w:t>
            </w:r>
          </w:p>
        </w:tc>
        <w:tc>
          <w:tcPr>
            <w:tcW w:w="4848" w:type="dxa"/>
          </w:tcPr>
          <w:p w:rsidR="007C5682" w:rsidRDefault="007C5682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7C5682" w:rsidRDefault="007C5682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  <w:p w:rsidR="00A724B5" w:rsidRDefault="0071663B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2021-2025</w:t>
            </w:r>
            <w:r w:rsidR="00A72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A724B5" w:rsidRPr="009A22BF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664265" w:rsidP="00ED372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збору за участю музейних, установ документальних</w:t>
            </w:r>
            <w:r w:rsidR="006145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145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фото-</w:t>
            </w:r>
            <w:proofErr w:type="spellEnd"/>
            <w:r w:rsidR="006145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145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аудіо-</w:t>
            </w:r>
            <w:proofErr w:type="spellEnd"/>
            <w:r w:rsidR="006145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145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відео-</w:t>
            </w:r>
            <w:proofErr w:type="spellEnd"/>
            <w:r w:rsidR="006145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інших матеріалів, свідчень, усних історій, що </w:t>
            </w:r>
            <w:r w:rsidR="00EB0C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висвітлюють</w:t>
            </w:r>
            <w:r w:rsidR="006145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події </w:t>
            </w:r>
            <w:r w:rsidR="00EB0C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Революції Гідності, а також систематизації та подальшого оприлюднення таких матеріалів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48" w:type="dxa"/>
          </w:tcPr>
          <w:p w:rsidR="00260395" w:rsidRDefault="0026039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260395" w:rsidRDefault="0026039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  <w:p w:rsidR="00260395" w:rsidRDefault="0026039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260395" w:rsidRDefault="0026039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(Юдіна О.О.)</w:t>
            </w:r>
          </w:p>
          <w:p w:rsidR="00A724B5" w:rsidRDefault="00A724B5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  <w:r w:rsidR="002603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2021-2025 років</w:t>
            </w:r>
          </w:p>
        </w:tc>
      </w:tr>
      <w:tr w:rsidR="00A724B5" w:rsidRPr="00FF5826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0B4188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проведення національно-патріотичних заходів у закладах освіти, військових частинах, закладах культури, а саме: національно-патріотичних уроків пам’яті</w:t>
            </w:r>
            <w:r w:rsidR="00A24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засідань у форматі «круглого столу», бесід, тематичних виставок та екскурсій, літературних вечорів, </w:t>
            </w:r>
            <w:proofErr w:type="spellStart"/>
            <w:r w:rsidR="00A24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флешмобів</w:t>
            </w:r>
            <w:proofErr w:type="spellEnd"/>
            <w:r w:rsidR="00A24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концертних програм</w:t>
            </w:r>
            <w:r w:rsidR="00AF3B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присвячених вшануванню подвигу учасників Революції Гідності та увічненню пам’яті Героїв Небесної Сотні за участю родин Героїв Неб</w:t>
            </w:r>
            <w:r w:rsidR="00AD7C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есної Сотні, активістів, борців за незалежність України у ХХ столітті</w:t>
            </w:r>
            <w:r w:rsidR="00AF3B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48" w:type="dxa"/>
          </w:tcPr>
          <w:p w:rsidR="00AD7C69" w:rsidRDefault="00AD7C69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D7C69" w:rsidRDefault="00AD7C69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  <w:p w:rsidR="00AD7C69" w:rsidRDefault="00AD7C69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724B5" w:rsidRDefault="00AD7C69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(Юдіна О.О.)</w:t>
            </w:r>
          </w:p>
          <w:p w:rsidR="00ED372B" w:rsidRDefault="00FF5826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молоді та спорту міської ради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Неговоренко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М.І.) </w:t>
            </w:r>
          </w:p>
          <w:p w:rsidR="00A724B5" w:rsidRDefault="00FF5826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2021-2025</w:t>
            </w:r>
            <w:r w:rsidR="00A72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A724B5" w:rsidRPr="009A22BF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017DC8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фотодокументальних, мистецьких та інформаційних виставок, облаштування постійних музейних експозицій, тематичних експозицій про події Революції Гідності, віртуальних виставок, культурно-освітніх, мистецьких та інших заходів, присвячених вшануванню подвигу учасників Революції Гідності та увічненню пам’яті Героїв Небесної Сотні </w:t>
            </w:r>
          </w:p>
        </w:tc>
        <w:tc>
          <w:tcPr>
            <w:tcW w:w="4848" w:type="dxa"/>
          </w:tcPr>
          <w:p w:rsidR="00AB1CEF" w:rsidRDefault="00AB1CEF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B1CEF" w:rsidRDefault="00AB1CEF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  <w:p w:rsidR="00AB1CEF" w:rsidRDefault="00AB1CEF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B1CEF" w:rsidRDefault="00AB1CEF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(Юдіна О.О.)</w:t>
            </w:r>
          </w:p>
          <w:p w:rsidR="00AB1CEF" w:rsidRDefault="00AB1CEF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  <w:p w:rsidR="00AB1CEF" w:rsidRDefault="00AB1CEF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М.О.)</w:t>
            </w:r>
          </w:p>
          <w:p w:rsidR="00A724B5" w:rsidRPr="00EE627E" w:rsidRDefault="00AB1CEF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2021 - 2025 років</w:t>
            </w:r>
          </w:p>
        </w:tc>
      </w:tr>
      <w:tr w:rsidR="00A724B5" w:rsidRPr="009A22BF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796159" w:rsidP="00ED372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створення відеоматеріалів, відеороликів, відеофільмів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промоційного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документального,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художнього характеру, </w:t>
            </w:r>
            <w:r w:rsidR="00AC6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присвячених подіям Революції Гідності, Героям Небесної Сотні</w:t>
            </w:r>
          </w:p>
        </w:tc>
        <w:tc>
          <w:tcPr>
            <w:tcW w:w="4848" w:type="dxa"/>
          </w:tcPr>
          <w:p w:rsidR="00ED372B" w:rsidRPr="00ED372B" w:rsidRDefault="00ED372B" w:rsidP="00ED372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37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Відділ культури міської ради</w:t>
            </w:r>
          </w:p>
          <w:p w:rsidR="00ED372B" w:rsidRDefault="00ED372B" w:rsidP="00ED372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37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ED37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 w:rsidRPr="00ED37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  <w:p w:rsidR="00A724B5" w:rsidRDefault="00AC6CBE" w:rsidP="00ED372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2021 - 2025 років</w:t>
            </w:r>
          </w:p>
        </w:tc>
      </w:tr>
      <w:tr w:rsidR="00A724B5" w:rsidRPr="009A22BF" w:rsidTr="00ED372B"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ED372B" w:rsidP="00ED372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створення</w:t>
            </w:r>
            <w:r w:rsidR="00AC6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посібників для проведення тематичних уроків та заходів </w:t>
            </w:r>
            <w:r w:rsidR="009F5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Революцію Гідності, заходів вшанування Героїв 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ебесної Сотні в закладах освіти та культури</w:t>
            </w:r>
            <w:r w:rsidR="009F5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48" w:type="dxa"/>
          </w:tcPr>
          <w:p w:rsidR="009F5BA7" w:rsidRDefault="009F5BA7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9F5BA7" w:rsidRDefault="009F5BA7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  <w:p w:rsidR="009F5BA7" w:rsidRDefault="009F5BA7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9F5BA7" w:rsidRDefault="009F5BA7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(Юдіна О.О.)</w:t>
            </w:r>
          </w:p>
          <w:p w:rsidR="003F6562" w:rsidRDefault="009F5BA7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2021 - 2025 років</w:t>
            </w:r>
          </w:p>
        </w:tc>
      </w:tr>
      <w:tr w:rsidR="00A724B5" w:rsidRPr="009A22BF" w:rsidTr="00ED372B">
        <w:trPr>
          <w:trHeight w:val="2400"/>
        </w:trPr>
        <w:tc>
          <w:tcPr>
            <w:tcW w:w="567" w:type="dxa"/>
          </w:tcPr>
          <w:p w:rsidR="00A724B5" w:rsidRPr="0041589B" w:rsidRDefault="00A724B5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A724B5" w:rsidRDefault="005D6C03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виготовлення, розповсюдження та розміщення соціальної реклами щодо вшанування подвигу учасників Революції Гідності та увічнення пам’яті Героїв Небесної Сотні </w:t>
            </w:r>
          </w:p>
        </w:tc>
        <w:tc>
          <w:tcPr>
            <w:tcW w:w="4848" w:type="dxa"/>
          </w:tcPr>
          <w:p w:rsidR="00EA761B" w:rsidRDefault="00EA761B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  <w:p w:rsidR="00EA761B" w:rsidRDefault="00EA761B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М.О.)</w:t>
            </w:r>
          </w:p>
          <w:p w:rsidR="00EA761B" w:rsidRDefault="00EA761B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2021 </w:t>
            </w:r>
            <w:r w:rsidR="00C122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2025</w:t>
            </w:r>
            <w:r w:rsidR="00C122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EA761B" w:rsidRPr="009A22BF" w:rsidTr="00ED372B">
        <w:trPr>
          <w:trHeight w:val="840"/>
        </w:trPr>
        <w:tc>
          <w:tcPr>
            <w:tcW w:w="567" w:type="dxa"/>
          </w:tcPr>
          <w:p w:rsidR="00EA761B" w:rsidRPr="0041589B" w:rsidRDefault="00C1220E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EA761B" w:rsidRDefault="00C1220E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проведенню релігійними організаціями панахиди за загиблими під час Революції Гідності та молебнів за захисниками України</w:t>
            </w:r>
          </w:p>
        </w:tc>
        <w:tc>
          <w:tcPr>
            <w:tcW w:w="4848" w:type="dxa"/>
          </w:tcPr>
          <w:p w:rsidR="007041CB" w:rsidRDefault="007041CB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  <w:p w:rsidR="007041CB" w:rsidRDefault="007041CB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М.О.)</w:t>
            </w:r>
          </w:p>
          <w:p w:rsidR="00EA761B" w:rsidRDefault="007041CB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2021 – 2025 років</w:t>
            </w:r>
          </w:p>
        </w:tc>
      </w:tr>
      <w:tr w:rsidR="00C1220E" w:rsidRPr="009A22BF" w:rsidTr="00ED372B">
        <w:trPr>
          <w:trHeight w:val="435"/>
        </w:trPr>
        <w:tc>
          <w:tcPr>
            <w:tcW w:w="567" w:type="dxa"/>
          </w:tcPr>
          <w:p w:rsidR="00C1220E" w:rsidRPr="0041589B" w:rsidRDefault="007041CB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158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3" w:type="dxa"/>
          </w:tcPr>
          <w:p w:rsidR="00C1220E" w:rsidRDefault="007041CB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широкому висвітленню заходів з від</w:t>
            </w:r>
            <w:r w:rsidR="00C55C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C55C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чення Дня Героїв Небесної Сотні і Дня Гідності та Свободи</w:t>
            </w:r>
          </w:p>
        </w:tc>
        <w:tc>
          <w:tcPr>
            <w:tcW w:w="4848" w:type="dxa"/>
          </w:tcPr>
          <w:p w:rsidR="00C55C62" w:rsidRDefault="00C55C62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  <w:p w:rsidR="00C55C62" w:rsidRDefault="00C55C62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М.О.)</w:t>
            </w:r>
          </w:p>
          <w:p w:rsidR="00C1220E" w:rsidRDefault="00C55C62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2021 – 2025 років</w:t>
            </w:r>
          </w:p>
        </w:tc>
      </w:tr>
      <w:tr w:rsidR="00EA761B" w:rsidRPr="00270372" w:rsidTr="00ED372B">
        <w:trPr>
          <w:trHeight w:val="470"/>
        </w:trPr>
        <w:tc>
          <w:tcPr>
            <w:tcW w:w="567" w:type="dxa"/>
          </w:tcPr>
          <w:p w:rsidR="00EA761B" w:rsidRPr="0041589B" w:rsidRDefault="00C55C62" w:rsidP="0054512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415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33" w:type="dxa"/>
          </w:tcPr>
          <w:p w:rsidR="00EA761B" w:rsidRDefault="00C55C62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установленню пам’ятників</w:t>
            </w:r>
            <w:r w:rsidR="00B84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пам’ятних знаків, меморіальних дощок, найменуванню (перейменуванню) скверів, бульварів, вулиць, провулків, </w:t>
            </w:r>
            <w:r w:rsidR="002703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площ, майданів, мостів, закладів освіти, культури та інших об’єктів на честь загиблих Героїв Небесної Сотні, подій Революції Гідності </w:t>
            </w:r>
            <w:r w:rsidR="00B84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48" w:type="dxa"/>
          </w:tcPr>
          <w:p w:rsidR="00EA761B" w:rsidRDefault="00115DEE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містобудування та архітектури міської ради</w:t>
            </w:r>
          </w:p>
          <w:p w:rsidR="00AA74C4" w:rsidRDefault="00AA74C4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О.О.)</w:t>
            </w:r>
          </w:p>
          <w:p w:rsidR="00ED372B" w:rsidRDefault="00ED372B" w:rsidP="0041589B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37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2021 – 2025 років</w:t>
            </w:r>
          </w:p>
        </w:tc>
      </w:tr>
    </w:tbl>
    <w:p w:rsidR="00A724B5" w:rsidRDefault="00A724B5" w:rsidP="00A724B5">
      <w:pPr>
        <w:rPr>
          <w:lang w:val="uk-UA"/>
        </w:rPr>
      </w:pPr>
    </w:p>
    <w:p w:rsidR="00A724B5" w:rsidRDefault="00A724B5" w:rsidP="00A724B5">
      <w:pPr>
        <w:rPr>
          <w:lang w:val="uk-UA"/>
        </w:rPr>
      </w:pPr>
    </w:p>
    <w:p w:rsidR="00A724B5" w:rsidRPr="00EE627E" w:rsidRDefault="00AA74C4" w:rsidP="00A724B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Керуючий</w:t>
      </w:r>
      <w:r w:rsidR="00A724B5" w:rsidRPr="00EE62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справами виконавчого </w:t>
      </w:r>
    </w:p>
    <w:p w:rsidR="00A724B5" w:rsidRPr="00EE627E" w:rsidRDefault="00A724B5" w:rsidP="00A724B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627E">
        <w:rPr>
          <w:rFonts w:ascii="Times New Roman" w:hAnsi="Times New Roman" w:cs="Times New Roman"/>
          <w:b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="00AA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4158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AA74C4">
        <w:rPr>
          <w:rFonts w:ascii="Times New Roman" w:hAnsi="Times New Roman" w:cs="Times New Roman"/>
          <w:b/>
          <w:sz w:val="28"/>
          <w:szCs w:val="28"/>
          <w:lang w:val="uk-UA"/>
        </w:rPr>
        <w:t>Лариса ГРОМАК</w:t>
      </w:r>
    </w:p>
    <w:p w:rsidR="00511C42" w:rsidRPr="00A724B5" w:rsidRDefault="00511C42">
      <w:pPr>
        <w:rPr>
          <w:lang w:val="uk-UA"/>
        </w:rPr>
      </w:pPr>
    </w:p>
    <w:sectPr w:rsidR="00511C42" w:rsidRPr="00A724B5" w:rsidSect="00AA74C4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42"/>
    <w:rsid w:val="00001690"/>
    <w:rsid w:val="00017DC8"/>
    <w:rsid w:val="000469CE"/>
    <w:rsid w:val="00085FBE"/>
    <w:rsid w:val="000B3494"/>
    <w:rsid w:val="000B4188"/>
    <w:rsid w:val="000D03B4"/>
    <w:rsid w:val="00115DEE"/>
    <w:rsid w:val="00160505"/>
    <w:rsid w:val="00191D06"/>
    <w:rsid w:val="001F1578"/>
    <w:rsid w:val="00260395"/>
    <w:rsid w:val="00270372"/>
    <w:rsid w:val="002709B2"/>
    <w:rsid w:val="00372E09"/>
    <w:rsid w:val="00376BB0"/>
    <w:rsid w:val="003F6562"/>
    <w:rsid w:val="0041589B"/>
    <w:rsid w:val="004647C1"/>
    <w:rsid w:val="00511C42"/>
    <w:rsid w:val="00567FB2"/>
    <w:rsid w:val="005A5B90"/>
    <w:rsid w:val="005D6C03"/>
    <w:rsid w:val="00612A6E"/>
    <w:rsid w:val="00614530"/>
    <w:rsid w:val="00646AAD"/>
    <w:rsid w:val="00664265"/>
    <w:rsid w:val="007041CB"/>
    <w:rsid w:val="0071663B"/>
    <w:rsid w:val="00762777"/>
    <w:rsid w:val="00770642"/>
    <w:rsid w:val="00796159"/>
    <w:rsid w:val="007B2607"/>
    <w:rsid w:val="007B4110"/>
    <w:rsid w:val="007C5682"/>
    <w:rsid w:val="00857503"/>
    <w:rsid w:val="00880820"/>
    <w:rsid w:val="00892762"/>
    <w:rsid w:val="008E781C"/>
    <w:rsid w:val="008F5121"/>
    <w:rsid w:val="00921904"/>
    <w:rsid w:val="009645C2"/>
    <w:rsid w:val="009756EE"/>
    <w:rsid w:val="00995EB0"/>
    <w:rsid w:val="009F5BA7"/>
    <w:rsid w:val="00A160C3"/>
    <w:rsid w:val="00A24FDE"/>
    <w:rsid w:val="00A26F0D"/>
    <w:rsid w:val="00A724B5"/>
    <w:rsid w:val="00A815DC"/>
    <w:rsid w:val="00A81A5E"/>
    <w:rsid w:val="00A854ED"/>
    <w:rsid w:val="00AA74C4"/>
    <w:rsid w:val="00AB1CEF"/>
    <w:rsid w:val="00AC6CBE"/>
    <w:rsid w:val="00AD7C69"/>
    <w:rsid w:val="00AF3B7F"/>
    <w:rsid w:val="00B717A7"/>
    <w:rsid w:val="00B8485B"/>
    <w:rsid w:val="00C1220E"/>
    <w:rsid w:val="00C235D8"/>
    <w:rsid w:val="00C55C62"/>
    <w:rsid w:val="00D24D3C"/>
    <w:rsid w:val="00D91E3B"/>
    <w:rsid w:val="00EA761B"/>
    <w:rsid w:val="00EB0CF7"/>
    <w:rsid w:val="00ED372B"/>
    <w:rsid w:val="00F04AF0"/>
    <w:rsid w:val="00F6546E"/>
    <w:rsid w:val="00FF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E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E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380665578434</dc:creator>
  <cp:lastModifiedBy>Win7</cp:lastModifiedBy>
  <cp:revision>6</cp:revision>
  <cp:lastPrinted>2021-04-06T07:29:00Z</cp:lastPrinted>
  <dcterms:created xsi:type="dcterms:W3CDTF">2021-04-06T06:31:00Z</dcterms:created>
  <dcterms:modified xsi:type="dcterms:W3CDTF">2021-04-07T06:14:00Z</dcterms:modified>
</cp:coreProperties>
</file>