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940F42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23.09.2019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 156-ОД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6A2FDE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>.в.о</w:t>
      </w:r>
      <w:proofErr w:type="spellEnd"/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 w:rsidR="00526C6D">
        <w:rPr>
          <w:rFonts w:ascii="Times New Roman" w:eastAsia="Times New Roman" w:hAnsi="Times New Roman"/>
          <w:sz w:val="28"/>
          <w:szCs w:val="28"/>
          <w:lang w:val="uk-UA" w:eastAsia="ru-RU"/>
        </w:rPr>
        <w:t>лковника  Чумак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</w:t>
      </w:r>
      <w:r w:rsidR="00526C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Р.В.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23.09.2019  № 1734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12.04.2018 № 318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25 вересня </w:t>
      </w:r>
      <w:r w:rsidR="001775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43D94">
        <w:rPr>
          <w:rFonts w:ascii="Times New Roman" w:eastAsia="Times New Roman" w:hAnsi="Times New Roman"/>
          <w:sz w:val="28"/>
          <w:szCs w:val="28"/>
          <w:lang w:val="uk-UA" w:eastAsia="ru-RU"/>
        </w:rPr>
        <w:t>8220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2500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п’ятсот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Default="00710D0A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A053AE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 за виконанням цього розпорядження покласти на заступника міського голови з питань діяльності виконавчих органів міської ради Васильєву М.І.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4573D7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міського голови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Олена </w:t>
      </w:r>
      <w:r w:rsidR="000120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ДЕМІШЕВА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40660"/>
    <w:rsid w:val="00045CEF"/>
    <w:rsid w:val="00081B39"/>
    <w:rsid w:val="000D2B49"/>
    <w:rsid w:val="000D7F8F"/>
    <w:rsid w:val="000E2A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E64A2"/>
    <w:rsid w:val="001E64EA"/>
    <w:rsid w:val="001F5571"/>
    <w:rsid w:val="00216813"/>
    <w:rsid w:val="00250FAA"/>
    <w:rsid w:val="00260AF6"/>
    <w:rsid w:val="00297941"/>
    <w:rsid w:val="002D79CC"/>
    <w:rsid w:val="00302472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C4164"/>
    <w:rsid w:val="005D091E"/>
    <w:rsid w:val="005F1B1E"/>
    <w:rsid w:val="00652B6B"/>
    <w:rsid w:val="00657CDA"/>
    <w:rsid w:val="00680D7E"/>
    <w:rsid w:val="006831C5"/>
    <w:rsid w:val="006A2CAB"/>
    <w:rsid w:val="006A2FDE"/>
    <w:rsid w:val="006B5429"/>
    <w:rsid w:val="006C49B7"/>
    <w:rsid w:val="00710D0A"/>
    <w:rsid w:val="00735716"/>
    <w:rsid w:val="00740C46"/>
    <w:rsid w:val="0076148C"/>
    <w:rsid w:val="007D6BBE"/>
    <w:rsid w:val="00823D5A"/>
    <w:rsid w:val="0084220D"/>
    <w:rsid w:val="00857408"/>
    <w:rsid w:val="008608AD"/>
    <w:rsid w:val="008B44EC"/>
    <w:rsid w:val="008D493B"/>
    <w:rsid w:val="008D5DF8"/>
    <w:rsid w:val="00940F42"/>
    <w:rsid w:val="00963721"/>
    <w:rsid w:val="009C71ED"/>
    <w:rsid w:val="009D52BD"/>
    <w:rsid w:val="00A053AE"/>
    <w:rsid w:val="00A55186"/>
    <w:rsid w:val="00A97C0A"/>
    <w:rsid w:val="00AA3761"/>
    <w:rsid w:val="00AB0776"/>
    <w:rsid w:val="00AD482A"/>
    <w:rsid w:val="00AF29DB"/>
    <w:rsid w:val="00B15D72"/>
    <w:rsid w:val="00B32C65"/>
    <w:rsid w:val="00B62ED1"/>
    <w:rsid w:val="00B91EA3"/>
    <w:rsid w:val="00BA1D71"/>
    <w:rsid w:val="00BA4778"/>
    <w:rsid w:val="00BA6CCB"/>
    <w:rsid w:val="00BF6BE1"/>
    <w:rsid w:val="00C06D79"/>
    <w:rsid w:val="00C572E7"/>
    <w:rsid w:val="00C6105A"/>
    <w:rsid w:val="00CC168D"/>
    <w:rsid w:val="00CD3A38"/>
    <w:rsid w:val="00D00A80"/>
    <w:rsid w:val="00D04FD5"/>
    <w:rsid w:val="00D56516"/>
    <w:rsid w:val="00D85C7E"/>
    <w:rsid w:val="00D95C87"/>
    <w:rsid w:val="00DB48D9"/>
    <w:rsid w:val="00DC56CF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123</cp:revision>
  <cp:lastPrinted>2019-09-23T13:16:00Z</cp:lastPrinted>
  <dcterms:created xsi:type="dcterms:W3CDTF">2017-04-03T07:43:00Z</dcterms:created>
  <dcterms:modified xsi:type="dcterms:W3CDTF">2019-09-23T13:46:00Z</dcterms:modified>
</cp:coreProperties>
</file>