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18E" w:rsidRDefault="0058318E" w:rsidP="004F6773">
      <w:pPr>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 xml:space="preserve">                                           </w:t>
      </w:r>
    </w:p>
    <w:p w:rsidR="0058318E" w:rsidRPr="00615E36" w:rsidRDefault="0058318E" w:rsidP="004F6773">
      <w:pPr>
        <w:spacing w:after="0" w:line="240" w:lineRule="auto"/>
        <w:jc w:val="center"/>
        <w:rPr>
          <w:rFonts w:ascii="Times New Roman" w:hAnsi="Times New Roman"/>
          <w:lang w:val="uk-UA" w:eastAsia="ru-RU"/>
        </w:rPr>
      </w:pPr>
      <w:r>
        <w:rPr>
          <w:rFonts w:ascii="Times New Roman" w:hAnsi="Times New Roman"/>
          <w:sz w:val="28"/>
          <w:szCs w:val="28"/>
          <w:lang w:val="uk-UA" w:eastAsia="ru-RU"/>
        </w:rPr>
        <w:t xml:space="preserve">                                             </w:t>
      </w:r>
      <w:r w:rsidRPr="00615E36">
        <w:rPr>
          <w:rFonts w:ascii="Times New Roman" w:hAnsi="Times New Roman"/>
          <w:sz w:val="28"/>
          <w:szCs w:val="28"/>
          <w:lang w:val="uk-UA" w:eastAsia="ru-RU"/>
        </w:rPr>
        <w:t>ЗАТВЕРДЖЕНО</w:t>
      </w:r>
    </w:p>
    <w:p w:rsidR="0058318E" w:rsidRDefault="0058318E" w:rsidP="004F6773">
      <w:pPr>
        <w:spacing w:after="0" w:line="240" w:lineRule="auto"/>
        <w:jc w:val="center"/>
        <w:rPr>
          <w:rFonts w:ascii="Times New Roman" w:hAnsi="Times New Roman"/>
          <w:sz w:val="28"/>
          <w:szCs w:val="28"/>
          <w:lang w:val="uk-UA" w:eastAsia="ru-RU"/>
        </w:rPr>
      </w:pPr>
      <w:r w:rsidRPr="00615E36">
        <w:rPr>
          <w:rFonts w:ascii="Times New Roman" w:hAnsi="Times New Roman"/>
          <w:b/>
          <w:sz w:val="28"/>
          <w:szCs w:val="28"/>
          <w:lang w:val="uk-UA" w:eastAsia="ru-RU"/>
        </w:rPr>
        <w:t xml:space="preserve">                                                </w:t>
      </w:r>
      <w:r>
        <w:rPr>
          <w:rFonts w:ascii="Times New Roman" w:hAnsi="Times New Roman"/>
          <w:b/>
          <w:sz w:val="28"/>
          <w:szCs w:val="28"/>
          <w:lang w:val="uk-UA" w:eastAsia="ru-RU"/>
        </w:rPr>
        <w:t xml:space="preserve">                       </w:t>
      </w:r>
      <w:r>
        <w:rPr>
          <w:rFonts w:ascii="Times New Roman" w:hAnsi="Times New Roman"/>
          <w:sz w:val="28"/>
          <w:szCs w:val="28"/>
          <w:lang w:val="uk-UA" w:eastAsia="ru-RU"/>
        </w:rPr>
        <w:t xml:space="preserve">розпорядження міського голови                 </w:t>
      </w:r>
    </w:p>
    <w:p w:rsidR="0058318E" w:rsidRPr="00615E36" w:rsidRDefault="0058318E" w:rsidP="004F6773">
      <w:pPr>
        <w:tabs>
          <w:tab w:val="left" w:pos="6480"/>
        </w:tabs>
        <w:spacing w:after="0" w:line="240" w:lineRule="auto"/>
        <w:ind w:left="-284" w:hanging="142"/>
        <w:jc w:val="both"/>
        <w:rPr>
          <w:rFonts w:ascii="Times New Roman" w:hAnsi="Times New Roman"/>
          <w:b/>
          <w:sz w:val="28"/>
          <w:szCs w:val="28"/>
          <w:lang w:val="uk-UA"/>
        </w:rPr>
      </w:pPr>
      <w:r>
        <w:rPr>
          <w:rFonts w:ascii="Times New Roman" w:hAnsi="Times New Roman"/>
          <w:sz w:val="28"/>
          <w:szCs w:val="28"/>
          <w:lang w:val="uk-UA" w:eastAsia="ru-RU"/>
        </w:rPr>
        <w:t xml:space="preserve">                                                                                    16.05.2018№91-ОД</w:t>
      </w:r>
      <w:r>
        <w:rPr>
          <w:rFonts w:ascii="Times New Roman" w:hAnsi="Times New Roman"/>
          <w:b/>
          <w:sz w:val="28"/>
          <w:szCs w:val="28"/>
          <w:lang w:val="uk-UA"/>
        </w:rPr>
        <w:t xml:space="preserve">      </w:t>
      </w:r>
      <w:bookmarkStart w:id="0" w:name="_GoBack"/>
      <w:bookmarkEnd w:id="0"/>
      <w:r>
        <w:rPr>
          <w:rFonts w:ascii="Times New Roman" w:hAnsi="Times New Roman"/>
          <w:b/>
          <w:sz w:val="28"/>
          <w:szCs w:val="28"/>
          <w:lang w:val="uk-UA"/>
        </w:rPr>
        <w:t xml:space="preserve">   </w:t>
      </w:r>
    </w:p>
    <w:p w:rsidR="0058318E" w:rsidRPr="005D0FF7" w:rsidRDefault="0058318E" w:rsidP="004F6773">
      <w:pPr>
        <w:tabs>
          <w:tab w:val="left" w:pos="3120"/>
        </w:tabs>
        <w:spacing w:after="0" w:line="240" w:lineRule="auto"/>
        <w:rPr>
          <w:rFonts w:ascii="Times New Roman" w:hAnsi="Times New Roman"/>
          <w:b/>
          <w:sz w:val="28"/>
          <w:szCs w:val="28"/>
          <w:lang w:val="uk-UA"/>
        </w:rPr>
      </w:pPr>
      <w:r>
        <w:rPr>
          <w:rFonts w:ascii="Times New Roman" w:hAnsi="Times New Roman"/>
          <w:b/>
          <w:sz w:val="28"/>
          <w:szCs w:val="28"/>
          <w:lang w:val="uk-UA"/>
        </w:rPr>
        <w:t xml:space="preserve">                                                        План </w:t>
      </w:r>
      <w:r w:rsidRPr="005D0FF7">
        <w:rPr>
          <w:rFonts w:ascii="Times New Roman" w:hAnsi="Times New Roman"/>
          <w:b/>
          <w:sz w:val="28"/>
          <w:szCs w:val="28"/>
          <w:lang w:val="uk-UA"/>
        </w:rPr>
        <w:t>заходів</w:t>
      </w:r>
    </w:p>
    <w:p w:rsidR="0058318E" w:rsidRDefault="0058318E" w:rsidP="004F6773">
      <w:pPr>
        <w:tabs>
          <w:tab w:val="left" w:pos="3120"/>
        </w:tabs>
        <w:spacing w:after="0" w:line="240" w:lineRule="auto"/>
        <w:jc w:val="center"/>
        <w:rPr>
          <w:rFonts w:ascii="Times New Roman" w:hAnsi="Times New Roman"/>
          <w:b/>
          <w:sz w:val="28"/>
          <w:szCs w:val="28"/>
          <w:lang w:val="uk-UA"/>
        </w:rPr>
      </w:pPr>
      <w:r>
        <w:rPr>
          <w:rFonts w:ascii="Times New Roman" w:hAnsi="Times New Roman"/>
          <w:b/>
          <w:sz w:val="28"/>
          <w:szCs w:val="28"/>
          <w:lang w:val="uk-UA"/>
        </w:rPr>
        <w:t>щодо зміцнення національної єдності, консолідації українського суспільства та підтримки ініціатив громадськості у зазначеній сфері в місті Глухові</w:t>
      </w:r>
    </w:p>
    <w:p w:rsidR="0058318E" w:rsidRPr="00EA5A9C" w:rsidRDefault="0058318E" w:rsidP="004F6773">
      <w:pPr>
        <w:tabs>
          <w:tab w:val="left" w:pos="3120"/>
        </w:tabs>
        <w:spacing w:after="0" w:line="240" w:lineRule="auto"/>
        <w:jc w:val="center"/>
        <w:rPr>
          <w:rFonts w:ascii="Times New Roman" w:hAnsi="Times New Roman"/>
          <w:b/>
          <w:sz w:val="28"/>
          <w:szCs w:val="28"/>
          <w:lang w:val="uk-UA"/>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0"/>
        <w:gridCol w:w="5808"/>
        <w:gridCol w:w="66"/>
        <w:gridCol w:w="2905"/>
      </w:tblGrid>
      <w:tr w:rsidR="0058318E" w:rsidRPr="002609B1" w:rsidTr="002609B1">
        <w:tc>
          <w:tcPr>
            <w:tcW w:w="850" w:type="dxa"/>
          </w:tcPr>
          <w:p w:rsidR="0058318E" w:rsidRPr="002609B1" w:rsidRDefault="0058318E" w:rsidP="002609B1">
            <w:pPr>
              <w:tabs>
                <w:tab w:val="left" w:pos="6480"/>
              </w:tabs>
              <w:spacing w:after="0" w:line="240" w:lineRule="auto"/>
              <w:jc w:val="both"/>
              <w:rPr>
                <w:rFonts w:ascii="Times New Roman" w:hAnsi="Times New Roman"/>
                <w:b/>
                <w:sz w:val="28"/>
                <w:szCs w:val="28"/>
                <w:lang w:val="uk-UA"/>
              </w:rPr>
            </w:pPr>
            <w:r w:rsidRPr="002609B1">
              <w:rPr>
                <w:rFonts w:ascii="Times New Roman" w:hAnsi="Times New Roman"/>
                <w:b/>
                <w:sz w:val="28"/>
                <w:szCs w:val="28"/>
                <w:lang w:val="uk-UA"/>
              </w:rPr>
              <w:t>№з/п</w:t>
            </w:r>
          </w:p>
        </w:tc>
        <w:tc>
          <w:tcPr>
            <w:tcW w:w="5874" w:type="dxa"/>
            <w:gridSpan w:val="2"/>
          </w:tcPr>
          <w:p w:rsidR="0058318E" w:rsidRPr="002609B1" w:rsidRDefault="0058318E" w:rsidP="002609B1">
            <w:pPr>
              <w:tabs>
                <w:tab w:val="left" w:pos="6480"/>
              </w:tabs>
              <w:spacing w:after="0" w:line="240" w:lineRule="auto"/>
              <w:jc w:val="center"/>
              <w:rPr>
                <w:rFonts w:ascii="Times New Roman" w:hAnsi="Times New Roman"/>
                <w:b/>
                <w:sz w:val="24"/>
                <w:szCs w:val="24"/>
                <w:lang w:val="uk-UA"/>
              </w:rPr>
            </w:pPr>
            <w:r w:rsidRPr="002609B1">
              <w:rPr>
                <w:rFonts w:ascii="Times New Roman" w:hAnsi="Times New Roman"/>
                <w:b/>
                <w:sz w:val="24"/>
                <w:szCs w:val="24"/>
                <w:lang w:val="uk-UA"/>
              </w:rPr>
              <w:t>НАЗВА ЗАХОДУ</w:t>
            </w:r>
          </w:p>
        </w:tc>
        <w:tc>
          <w:tcPr>
            <w:tcW w:w="2905" w:type="dxa"/>
          </w:tcPr>
          <w:p w:rsidR="0058318E" w:rsidRPr="002609B1" w:rsidRDefault="0058318E" w:rsidP="002609B1">
            <w:pPr>
              <w:tabs>
                <w:tab w:val="left" w:pos="6480"/>
              </w:tabs>
              <w:spacing w:after="0" w:line="240" w:lineRule="auto"/>
              <w:jc w:val="center"/>
              <w:rPr>
                <w:rFonts w:ascii="Times New Roman" w:hAnsi="Times New Roman"/>
                <w:b/>
                <w:sz w:val="24"/>
                <w:szCs w:val="24"/>
                <w:lang w:val="uk-UA"/>
              </w:rPr>
            </w:pPr>
            <w:r w:rsidRPr="002609B1">
              <w:rPr>
                <w:rFonts w:ascii="Times New Roman" w:hAnsi="Times New Roman"/>
                <w:b/>
                <w:sz w:val="24"/>
                <w:szCs w:val="24"/>
                <w:lang w:val="uk-UA"/>
              </w:rPr>
              <w:t>ВІДПОВІДАЛЬНІ ВИКОНАЦІ</w:t>
            </w:r>
          </w:p>
        </w:tc>
      </w:tr>
      <w:tr w:rsidR="0058318E" w:rsidRPr="002609B1" w:rsidTr="002609B1">
        <w:tc>
          <w:tcPr>
            <w:tcW w:w="850" w:type="dxa"/>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1</w:t>
            </w: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b/>
                <w:sz w:val="28"/>
                <w:szCs w:val="28"/>
                <w:lang w:val="uk-UA"/>
              </w:rPr>
            </w:pPr>
            <w:r w:rsidRPr="002609B1">
              <w:rPr>
                <w:rFonts w:ascii="Times New Roman" w:hAnsi="Times New Roman"/>
                <w:sz w:val="28"/>
                <w:szCs w:val="28"/>
                <w:lang w:val="uk-UA"/>
              </w:rPr>
              <w:t>Проведення заходів щодо національно-патріотичного виховання, спрямованих на формування ціннісних орієнтирів утвердження національно-патріотичної і громадянської свідомості</w:t>
            </w: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 xml:space="preserve">Відділ молоді та спорту міської ради (Плотницький М.Г.) </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освіти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 xml:space="preserve"> (Васянович Л.Г.)</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Постійно</w:t>
            </w:r>
          </w:p>
        </w:tc>
      </w:tr>
      <w:tr w:rsidR="0058318E" w:rsidRPr="002609B1" w:rsidTr="002609B1">
        <w:trPr>
          <w:trHeight w:val="1151"/>
        </w:trPr>
        <w:tc>
          <w:tcPr>
            <w:tcW w:w="850" w:type="dxa"/>
            <w:vMerge w:val="restart"/>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2</w:t>
            </w: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Забезпечення у визначеному чинним законодавством порядку підтримки ініціатив громадськості, спрямованих на:</w:t>
            </w:r>
          </w:p>
        </w:tc>
        <w:tc>
          <w:tcPr>
            <w:tcW w:w="2905" w:type="dxa"/>
          </w:tcPr>
          <w:p w:rsidR="0058318E" w:rsidRPr="002609B1" w:rsidRDefault="0058318E" w:rsidP="002609B1">
            <w:pPr>
              <w:tabs>
                <w:tab w:val="left" w:pos="6480"/>
              </w:tabs>
              <w:spacing w:after="0" w:line="240" w:lineRule="auto"/>
              <w:jc w:val="both"/>
              <w:rPr>
                <w:rFonts w:ascii="Times New Roman" w:hAnsi="Times New Roman"/>
                <w:sz w:val="28"/>
                <w:szCs w:val="28"/>
                <w:lang w:val="uk-UA"/>
              </w:rPr>
            </w:pPr>
          </w:p>
          <w:p w:rsidR="0058318E" w:rsidRPr="002609B1" w:rsidRDefault="0058318E" w:rsidP="002609B1">
            <w:pPr>
              <w:tabs>
                <w:tab w:val="left" w:pos="6480"/>
              </w:tabs>
              <w:spacing w:after="0" w:line="240" w:lineRule="auto"/>
              <w:jc w:val="both"/>
              <w:rPr>
                <w:rFonts w:ascii="Times New Roman" w:hAnsi="Times New Roman"/>
                <w:sz w:val="28"/>
                <w:szCs w:val="28"/>
                <w:lang w:val="uk-UA"/>
              </w:rPr>
            </w:pPr>
          </w:p>
          <w:p w:rsidR="0058318E" w:rsidRPr="002609B1" w:rsidRDefault="0058318E" w:rsidP="002609B1">
            <w:pPr>
              <w:tabs>
                <w:tab w:val="left" w:pos="6480"/>
              </w:tabs>
              <w:spacing w:after="0" w:line="240" w:lineRule="auto"/>
              <w:jc w:val="both"/>
              <w:rPr>
                <w:rFonts w:ascii="Times New Roman" w:hAnsi="Times New Roman"/>
                <w:sz w:val="28"/>
                <w:szCs w:val="28"/>
                <w:lang w:val="uk-UA"/>
              </w:rPr>
            </w:pPr>
          </w:p>
        </w:tc>
      </w:tr>
      <w:tr w:rsidR="0058318E" w:rsidRPr="002609B1" w:rsidTr="002609B1">
        <w:trPr>
          <w:trHeight w:val="1125"/>
        </w:trPr>
        <w:tc>
          <w:tcPr>
            <w:tcW w:w="850" w:type="dxa"/>
            <w:vMerge/>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1) проведення заходів національно-патріотичного та військово-патріотичного виховання дітей і молоді у закладах оздоровлення та відпочинку в період літньої оздоровчої компанії;</w:t>
            </w:r>
          </w:p>
          <w:p w:rsidR="0058318E" w:rsidRPr="002609B1" w:rsidRDefault="0058318E" w:rsidP="002609B1">
            <w:pPr>
              <w:tabs>
                <w:tab w:val="left" w:pos="6480"/>
              </w:tabs>
              <w:spacing w:after="0" w:line="240" w:lineRule="auto"/>
              <w:jc w:val="both"/>
              <w:rPr>
                <w:rFonts w:ascii="Times New Roman" w:hAnsi="Times New Roman"/>
                <w:sz w:val="28"/>
                <w:szCs w:val="28"/>
                <w:lang w:val="uk-UA"/>
              </w:rPr>
            </w:pP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 xml:space="preserve">Відділ молоді та спорту міської ради (Плотницький М.Г.) </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освіти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 xml:space="preserve"> (Васянович Л.Г.)</w:t>
            </w:r>
          </w:p>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Постійно</w:t>
            </w:r>
          </w:p>
        </w:tc>
      </w:tr>
      <w:tr w:rsidR="0058318E" w:rsidRPr="002609B1" w:rsidTr="002609B1">
        <w:trPr>
          <w:trHeight w:val="1125"/>
        </w:trPr>
        <w:tc>
          <w:tcPr>
            <w:tcW w:w="850" w:type="dxa"/>
            <w:vMerge/>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2) зміцнення національної єдності, утвердження патріотизму, відновлення і збереження національної пам’яті, розвиток національної свідомості, популяризацію духовно-культурної спадщини Українського народу, міжрегіональне співробітництво</w:t>
            </w: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з правової та внутрішньої політики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(Демченко О.А.)</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молоді та спорту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(Плотницький М.Г.)</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культури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(Самощенко О.М.)</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 xml:space="preserve">Постійно </w:t>
            </w:r>
          </w:p>
        </w:tc>
      </w:tr>
      <w:tr w:rsidR="0058318E" w:rsidRPr="002609B1" w:rsidTr="002609B1">
        <w:trPr>
          <w:trHeight w:val="3250"/>
        </w:trPr>
        <w:tc>
          <w:tcPr>
            <w:tcW w:w="850" w:type="dxa"/>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3</w:t>
            </w:r>
          </w:p>
        </w:tc>
        <w:tc>
          <w:tcPr>
            <w:tcW w:w="5808" w:type="dxa"/>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Підготовка за участю організацій громадянського суспільства пропозицій щодо створення</w:t>
            </w:r>
          </w:p>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1) належних умов для оздоровлення та літнього відпочинку в інших регіонах України дітей і молоді, які переміщені з тимчасово окупованих територій та зазнали негативного впливу, у тому числі за рахунок місцевих бюджетів, а також інших джерел, не заборонених законодавством</w:t>
            </w:r>
          </w:p>
        </w:tc>
        <w:tc>
          <w:tcPr>
            <w:tcW w:w="2971" w:type="dxa"/>
            <w:gridSpan w:val="2"/>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освіти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(Васянович Л.Г.)</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молоді та спорту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(Плотницький М.Г.)</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До 01 червня 2018 року</w:t>
            </w:r>
          </w:p>
        </w:tc>
      </w:tr>
      <w:tr w:rsidR="0058318E" w:rsidRPr="002609B1" w:rsidTr="002609B1">
        <w:trPr>
          <w:trHeight w:val="645"/>
        </w:trPr>
        <w:tc>
          <w:tcPr>
            <w:tcW w:w="850" w:type="dxa"/>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4</w:t>
            </w: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Залучення до проведення заходів з національно-патріотичного виховання учасників антитерористичної операції, які своєю громадянською позицією сприяють консолідації та розвиткові української нації, її історичної свідомості, культури, а також популяризують традиції боротьби за державну незалежність та територіальну цілісність України</w:t>
            </w: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молоді та спорту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(Плотницький М.Г)</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освіти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Васянович Л.Г.)</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Постійно</w:t>
            </w:r>
          </w:p>
        </w:tc>
      </w:tr>
      <w:tr w:rsidR="0058318E" w:rsidRPr="002609B1" w:rsidTr="002609B1">
        <w:trPr>
          <w:trHeight w:val="645"/>
        </w:trPr>
        <w:tc>
          <w:tcPr>
            <w:tcW w:w="850" w:type="dxa"/>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5</w:t>
            </w: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Проведення із залученням науковців та експертів інформаційно-просвітницьких заходів, тематичних історичних майданчиків, фотодокументальних виставок тощо, присвячених збереженню національної пам’яті Українського народу, популяризації історичного минулого, для зміцнення національної єдності та консолідації українського суспільства.</w:t>
            </w: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з правової та внутрішньої політики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(Демченко О.А.)</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культури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(Самощенко О.М.)</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освіти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(Васянович Л.Г.)</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Постійно</w:t>
            </w:r>
          </w:p>
        </w:tc>
      </w:tr>
      <w:tr w:rsidR="0058318E" w:rsidRPr="004040B4" w:rsidTr="002609B1">
        <w:trPr>
          <w:trHeight w:val="968"/>
        </w:trPr>
        <w:tc>
          <w:tcPr>
            <w:tcW w:w="850" w:type="dxa"/>
            <w:vMerge w:val="restart"/>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6</w:t>
            </w: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Вжиття заходів для розвитку та посилення міжрегіонального співробітництва з реалізації економічних, соціальних, освітніх, туристичних, інформаційних та культурно-мистецьких проектів, зокрема:</w:t>
            </w:r>
          </w:p>
          <w:p w:rsidR="0058318E" w:rsidRPr="002609B1" w:rsidRDefault="0058318E" w:rsidP="002609B1">
            <w:pPr>
              <w:tabs>
                <w:tab w:val="left" w:pos="6480"/>
              </w:tabs>
              <w:spacing w:after="0" w:line="240" w:lineRule="auto"/>
              <w:jc w:val="both"/>
              <w:rPr>
                <w:rFonts w:ascii="Times New Roman" w:hAnsi="Times New Roman"/>
                <w:sz w:val="28"/>
                <w:szCs w:val="28"/>
                <w:lang w:val="uk-UA"/>
              </w:rPr>
            </w:pP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p>
        </w:tc>
      </w:tr>
      <w:tr w:rsidR="0058318E" w:rsidRPr="002609B1" w:rsidTr="002609B1">
        <w:trPr>
          <w:trHeight w:val="1770"/>
        </w:trPr>
        <w:tc>
          <w:tcPr>
            <w:tcW w:w="850" w:type="dxa"/>
            <w:vMerge/>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1) забезпечення підтримки та сприяння організаціям громадянського суспільства, діяльність яких спрямована на забезпечення місцевого і регіонального розвитку, у залученні громадян до процесу міжрегіонального обміну та співробітництва;</w:t>
            </w:r>
          </w:p>
          <w:p w:rsidR="0058318E" w:rsidRPr="002609B1" w:rsidRDefault="0058318E" w:rsidP="002609B1">
            <w:pPr>
              <w:tabs>
                <w:tab w:val="left" w:pos="6480"/>
              </w:tabs>
              <w:spacing w:after="0" w:line="240" w:lineRule="auto"/>
              <w:jc w:val="both"/>
              <w:rPr>
                <w:rFonts w:ascii="Times New Roman" w:hAnsi="Times New Roman"/>
                <w:sz w:val="28"/>
                <w:szCs w:val="28"/>
                <w:lang w:val="uk-UA"/>
              </w:rPr>
            </w:pP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Управління соціально-економічного розвитку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(Сухоручкіна Л.О.)</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управління соціального захисту населення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(Попова З.О.)</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Постійно</w:t>
            </w:r>
          </w:p>
        </w:tc>
      </w:tr>
      <w:tr w:rsidR="0058318E" w:rsidRPr="002609B1" w:rsidTr="002609B1">
        <w:trPr>
          <w:trHeight w:val="2093"/>
        </w:trPr>
        <w:tc>
          <w:tcPr>
            <w:tcW w:w="850" w:type="dxa"/>
            <w:vMerge/>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2) сприяння організації та проведенню міжрегіональних форумів, зустрічей представників ділових кіл з різних регіонів, презентацій, засідань за круглим столом, а також комунікаційних заходів за участю внутрішньо переміщених осіб, експертів, зокрема стосовно тематики реінтеграції тимчасово окупованих територій;</w:t>
            </w:r>
          </w:p>
          <w:p w:rsidR="0058318E" w:rsidRPr="002609B1" w:rsidRDefault="0058318E" w:rsidP="002609B1">
            <w:pPr>
              <w:tabs>
                <w:tab w:val="left" w:pos="6480"/>
              </w:tabs>
              <w:spacing w:after="0" w:line="240" w:lineRule="auto"/>
              <w:jc w:val="both"/>
              <w:rPr>
                <w:rFonts w:ascii="Times New Roman" w:hAnsi="Times New Roman"/>
                <w:sz w:val="28"/>
                <w:szCs w:val="28"/>
                <w:lang w:val="uk-UA"/>
              </w:rPr>
            </w:pP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Управління соціально-економічного розвитку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(Сухоручкіна Л.О.)</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управління соціального захисту населення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(Попова З.О.)</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освіти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(Васянович Л.Г.)</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Постійно</w:t>
            </w:r>
          </w:p>
        </w:tc>
      </w:tr>
      <w:tr w:rsidR="0058318E" w:rsidRPr="002609B1" w:rsidTr="002609B1">
        <w:trPr>
          <w:trHeight w:val="1285"/>
        </w:trPr>
        <w:tc>
          <w:tcPr>
            <w:tcW w:w="850" w:type="dxa"/>
            <w:vMerge/>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3) сприяння просуванню регіональних туристичних продуктів на всесвітніх та міжнародних виставкових заходах в рамках роботи національних експозицій України.</w:t>
            </w: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культури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(Самощенко О.М.)</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Постійно</w:t>
            </w:r>
          </w:p>
        </w:tc>
      </w:tr>
      <w:tr w:rsidR="0058318E" w:rsidRPr="002609B1" w:rsidTr="002609B1">
        <w:trPr>
          <w:trHeight w:val="2092"/>
        </w:trPr>
        <w:tc>
          <w:tcPr>
            <w:tcW w:w="850" w:type="dxa"/>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7</w:t>
            </w: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Сприяння у визначеному чинним законодавством порядку діяльності організацій громадянського суспільства, які працюють з місцевими громадами, з проведення просвітницьких заходів в Донецькій та Луганській областях, насамперед у населених пунктах, що розташовані на лінії зіткнення, а також на тимчасово окупованих територіях.</w:t>
            </w: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з правової та внутрішньої політики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(Демченко О.А.)</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Постійно</w:t>
            </w:r>
          </w:p>
        </w:tc>
      </w:tr>
      <w:tr w:rsidR="0058318E" w:rsidRPr="002609B1" w:rsidTr="002609B1">
        <w:trPr>
          <w:trHeight w:val="2092"/>
        </w:trPr>
        <w:tc>
          <w:tcPr>
            <w:tcW w:w="850" w:type="dxa"/>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8</w:t>
            </w: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Сприяння висвітленню в засобах масової інформації пріоритетних заходів щодо зміцнення національної єдності, консолідації українського суспільства та підтримки ініціатив громадськості у зазначеній сфері, зокрема забезпеченні доступу до споживання інформаційної продукції засобів масової інформації громадянам України, які проживають в місті, що наближений до державного кордону та межує з іноземними державами.</w:t>
            </w: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з правової та внутрішньої політики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(Демченко О.А.)</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 xml:space="preserve">Постійно </w:t>
            </w:r>
          </w:p>
        </w:tc>
      </w:tr>
      <w:tr w:rsidR="0058318E" w:rsidRPr="002609B1" w:rsidTr="002609B1">
        <w:trPr>
          <w:trHeight w:val="698"/>
        </w:trPr>
        <w:tc>
          <w:tcPr>
            <w:tcW w:w="850" w:type="dxa"/>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9</w:t>
            </w: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Забезпечення виготовлення, організації розміщення на відповідних носіях, розповсюдження (трансляції) у засобах масової інформації соціальної реклами та тему зміцнення національної єдності, консолідації українського суспільства, цінностей свободи, демократії та патріотизму, захисту України від внутрішніх та зовнішніх загроз та присвяченої річницям великих подій української історії та її видатним особистостям.</w:t>
            </w: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з правової та внутрішньої політики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(Демченко О.А.)</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Постійно</w:t>
            </w:r>
          </w:p>
        </w:tc>
      </w:tr>
      <w:tr w:rsidR="0058318E" w:rsidRPr="002609B1" w:rsidTr="002609B1">
        <w:trPr>
          <w:trHeight w:val="2092"/>
        </w:trPr>
        <w:tc>
          <w:tcPr>
            <w:tcW w:w="850" w:type="dxa"/>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10</w:t>
            </w: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Забезпечення підготовки, видання та розповсюдження у закладах освіти, державних органах, закладах культури, засобах масової інформації наукових, науково-популярних, публіцистичних видань, методичних рекомендацій та інформаційних матеріалів, що висвітлюють боротьбу за незалежність, захист суверенітету і територіальної цілісності України, проблеми запобігання та врегулювання етнічних конфліктів, сприяють збереженню національної пам’яті, відзначенню ювілейних і пам’ятних дат історії Українського народу.</w:t>
            </w: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з правової та внутрішньої політики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(Демченко О.А.)</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культури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(Самощенко О.М.)</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освіти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(Васянович Л.Г.)</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Постійно</w:t>
            </w:r>
          </w:p>
        </w:tc>
      </w:tr>
      <w:tr w:rsidR="0058318E" w:rsidRPr="002609B1" w:rsidTr="002609B1">
        <w:trPr>
          <w:trHeight w:val="2092"/>
        </w:trPr>
        <w:tc>
          <w:tcPr>
            <w:tcW w:w="850" w:type="dxa"/>
          </w:tcPr>
          <w:p w:rsidR="0058318E" w:rsidRPr="002609B1" w:rsidRDefault="0058318E" w:rsidP="002609B1">
            <w:pPr>
              <w:tabs>
                <w:tab w:val="left" w:pos="6480"/>
              </w:tabs>
              <w:spacing w:after="0" w:line="240" w:lineRule="auto"/>
              <w:jc w:val="center"/>
              <w:rPr>
                <w:rFonts w:ascii="Times New Roman" w:hAnsi="Times New Roman"/>
                <w:b/>
                <w:sz w:val="28"/>
                <w:szCs w:val="28"/>
                <w:lang w:val="uk-UA"/>
              </w:rPr>
            </w:pPr>
            <w:r w:rsidRPr="002609B1">
              <w:rPr>
                <w:rFonts w:ascii="Times New Roman" w:hAnsi="Times New Roman"/>
                <w:b/>
                <w:sz w:val="28"/>
                <w:szCs w:val="28"/>
                <w:lang w:val="uk-UA"/>
              </w:rPr>
              <w:t>11</w:t>
            </w:r>
          </w:p>
        </w:tc>
        <w:tc>
          <w:tcPr>
            <w:tcW w:w="5874" w:type="dxa"/>
            <w:gridSpan w:val="2"/>
          </w:tcPr>
          <w:p w:rsidR="0058318E" w:rsidRPr="002609B1" w:rsidRDefault="0058318E" w:rsidP="002609B1">
            <w:pPr>
              <w:tabs>
                <w:tab w:val="left" w:pos="6480"/>
              </w:tabs>
              <w:spacing w:after="0" w:line="240" w:lineRule="auto"/>
              <w:jc w:val="both"/>
              <w:rPr>
                <w:rFonts w:ascii="Times New Roman" w:hAnsi="Times New Roman"/>
                <w:sz w:val="28"/>
                <w:szCs w:val="28"/>
                <w:lang w:val="uk-UA"/>
              </w:rPr>
            </w:pPr>
            <w:r w:rsidRPr="002609B1">
              <w:rPr>
                <w:rFonts w:ascii="Times New Roman" w:hAnsi="Times New Roman"/>
                <w:sz w:val="28"/>
                <w:szCs w:val="28"/>
                <w:lang w:val="uk-UA"/>
              </w:rPr>
              <w:t>Забезпечення підтримки ініціатив стосовно створення, розповсюдження та популяризації фільмів історико-патріотичного змісту, розширення аудиторії українського кіно, проведення публічних показів у закладах освіти творів вітчизняної кінематографії.</w:t>
            </w:r>
          </w:p>
        </w:tc>
        <w:tc>
          <w:tcPr>
            <w:tcW w:w="2905" w:type="dxa"/>
          </w:tcPr>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з правової та внутрішньої політики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(Демченко О.А.)</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 xml:space="preserve">відділ культури міської ради </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(Самощенко О.М.)</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відділ освіти міської ради</w:t>
            </w:r>
          </w:p>
          <w:p w:rsidR="0058318E" w:rsidRPr="002609B1" w:rsidRDefault="0058318E" w:rsidP="002609B1">
            <w:pPr>
              <w:tabs>
                <w:tab w:val="left" w:pos="6480"/>
              </w:tabs>
              <w:spacing w:after="0" w:line="240" w:lineRule="auto"/>
              <w:rPr>
                <w:rFonts w:ascii="Times New Roman" w:hAnsi="Times New Roman"/>
                <w:sz w:val="28"/>
                <w:szCs w:val="28"/>
                <w:lang w:val="uk-UA"/>
              </w:rPr>
            </w:pPr>
            <w:r w:rsidRPr="002609B1">
              <w:rPr>
                <w:rFonts w:ascii="Times New Roman" w:hAnsi="Times New Roman"/>
                <w:sz w:val="28"/>
                <w:szCs w:val="28"/>
                <w:lang w:val="uk-UA"/>
              </w:rPr>
              <w:t>(Васянович Л.Г.)</w:t>
            </w:r>
          </w:p>
        </w:tc>
      </w:tr>
    </w:tbl>
    <w:p w:rsidR="0058318E" w:rsidRDefault="0058318E">
      <w:pPr>
        <w:rPr>
          <w:lang w:val="uk-UA"/>
        </w:rPr>
      </w:pPr>
    </w:p>
    <w:p w:rsidR="0058318E" w:rsidRPr="00C03631" w:rsidRDefault="0058318E">
      <w:pPr>
        <w:rPr>
          <w:rFonts w:ascii="Times New Roman" w:hAnsi="Times New Roman"/>
          <w:b/>
          <w:sz w:val="28"/>
          <w:szCs w:val="28"/>
          <w:lang w:val="uk-UA"/>
        </w:rPr>
      </w:pPr>
    </w:p>
    <w:p w:rsidR="0058318E" w:rsidRDefault="0058318E" w:rsidP="00C03631">
      <w:pPr>
        <w:spacing w:after="0" w:line="240" w:lineRule="auto"/>
        <w:rPr>
          <w:rFonts w:ascii="Times New Roman" w:hAnsi="Times New Roman"/>
          <w:b/>
          <w:sz w:val="28"/>
          <w:szCs w:val="28"/>
          <w:lang w:val="uk-UA"/>
        </w:rPr>
      </w:pPr>
      <w:r w:rsidRPr="00C03631">
        <w:rPr>
          <w:rFonts w:ascii="Times New Roman" w:hAnsi="Times New Roman"/>
          <w:b/>
          <w:sz w:val="28"/>
          <w:szCs w:val="28"/>
          <w:lang w:val="uk-UA"/>
        </w:rPr>
        <w:t xml:space="preserve">Керуюча справами виконавчого </w:t>
      </w:r>
    </w:p>
    <w:p w:rsidR="0058318E" w:rsidRPr="00C03631" w:rsidRDefault="0058318E" w:rsidP="00C03631">
      <w:pPr>
        <w:spacing w:after="0" w:line="240" w:lineRule="auto"/>
        <w:rPr>
          <w:rFonts w:ascii="Times New Roman" w:hAnsi="Times New Roman"/>
          <w:b/>
          <w:sz w:val="28"/>
          <w:szCs w:val="28"/>
          <w:lang w:val="uk-UA"/>
        </w:rPr>
      </w:pPr>
      <w:r w:rsidRPr="00C03631">
        <w:rPr>
          <w:rFonts w:ascii="Times New Roman" w:hAnsi="Times New Roman"/>
          <w:b/>
          <w:sz w:val="28"/>
          <w:szCs w:val="28"/>
          <w:lang w:val="uk-UA"/>
        </w:rPr>
        <w:t>комітету міської ради</w:t>
      </w:r>
      <w:r>
        <w:rPr>
          <w:rFonts w:ascii="Times New Roman" w:hAnsi="Times New Roman"/>
          <w:b/>
          <w:sz w:val="28"/>
          <w:szCs w:val="28"/>
          <w:lang w:val="uk-UA"/>
        </w:rPr>
        <w:t xml:space="preserve">                                                      О.О.Гаврильченко</w:t>
      </w:r>
    </w:p>
    <w:sectPr w:rsidR="0058318E" w:rsidRPr="00C03631" w:rsidSect="00C03631">
      <w:pgSz w:w="11906" w:h="16838"/>
      <w:pgMar w:top="1134" w:right="566"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440D"/>
    <w:multiLevelType w:val="hybridMultilevel"/>
    <w:tmpl w:val="60CCFA4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73758C1"/>
    <w:multiLevelType w:val="hybridMultilevel"/>
    <w:tmpl w:val="511069F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BB22EB1"/>
    <w:multiLevelType w:val="hybridMultilevel"/>
    <w:tmpl w:val="198A446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C423EB2"/>
    <w:multiLevelType w:val="hybridMultilevel"/>
    <w:tmpl w:val="46FCAF9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3D37DB3"/>
    <w:multiLevelType w:val="hybridMultilevel"/>
    <w:tmpl w:val="C77421D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817403C"/>
    <w:multiLevelType w:val="hybridMultilevel"/>
    <w:tmpl w:val="0D98F20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380F"/>
    <w:rsid w:val="0013070C"/>
    <w:rsid w:val="0023321C"/>
    <w:rsid w:val="002609B1"/>
    <w:rsid w:val="002B325E"/>
    <w:rsid w:val="003A4985"/>
    <w:rsid w:val="003B25B4"/>
    <w:rsid w:val="004040B4"/>
    <w:rsid w:val="004C3B2A"/>
    <w:rsid w:val="004F6773"/>
    <w:rsid w:val="0058318E"/>
    <w:rsid w:val="005D0FF7"/>
    <w:rsid w:val="005D7A6B"/>
    <w:rsid w:val="005F0580"/>
    <w:rsid w:val="00615E36"/>
    <w:rsid w:val="00864E36"/>
    <w:rsid w:val="008C5739"/>
    <w:rsid w:val="008D7FC1"/>
    <w:rsid w:val="009135FF"/>
    <w:rsid w:val="00AD6FB0"/>
    <w:rsid w:val="00AF454A"/>
    <w:rsid w:val="00B0380F"/>
    <w:rsid w:val="00B33C0A"/>
    <w:rsid w:val="00B6173C"/>
    <w:rsid w:val="00B6492E"/>
    <w:rsid w:val="00C03631"/>
    <w:rsid w:val="00C06005"/>
    <w:rsid w:val="00C56B70"/>
    <w:rsid w:val="00CE34CD"/>
    <w:rsid w:val="00DE6C4C"/>
    <w:rsid w:val="00EA5A9C"/>
    <w:rsid w:val="00EE473B"/>
    <w:rsid w:val="00F20107"/>
    <w:rsid w:val="00F34A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773"/>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F677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20107"/>
    <w:pPr>
      <w:ind w:left="720"/>
      <w:contextualSpacing/>
    </w:pPr>
  </w:style>
  <w:style w:type="paragraph" w:styleId="BalloonText">
    <w:name w:val="Balloon Text"/>
    <w:basedOn w:val="Normal"/>
    <w:link w:val="BalloonTextChar"/>
    <w:uiPriority w:val="99"/>
    <w:semiHidden/>
    <w:rsid w:val="003B25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B25B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1052</Words>
  <Characters>5998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WinXPProSP3</cp:lastModifiedBy>
  <cp:revision>2</cp:revision>
  <cp:lastPrinted>2018-05-17T07:12:00Z</cp:lastPrinted>
  <dcterms:created xsi:type="dcterms:W3CDTF">2018-05-17T07:43:00Z</dcterms:created>
  <dcterms:modified xsi:type="dcterms:W3CDTF">2018-05-17T07:43:00Z</dcterms:modified>
</cp:coreProperties>
</file>